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4"/>
          <w:szCs w:val="44"/>
        </w:rPr>
      </w:pPr>
      <w:r>
        <w:rPr>
          <w:rFonts w:hint="eastAsia" w:ascii="黑体" w:hAnsi="黑体" w:eastAsia="黑体" w:cs="黑体"/>
          <w:sz w:val="44"/>
          <w:szCs w:val="44"/>
        </w:rPr>
        <w:t>襄阳市殡仪馆销售物品（生活日用品类）</w:t>
      </w:r>
    </w:p>
    <w:p>
      <w:pPr>
        <w:jc w:val="center"/>
        <w:rPr>
          <w:rFonts w:hint="default" w:ascii="黑体" w:hAnsi="黑体" w:eastAsia="黑体" w:cs="黑体"/>
          <w:sz w:val="44"/>
          <w:szCs w:val="44"/>
          <w:lang w:val="en-US" w:eastAsia="zh-CN"/>
        </w:rPr>
      </w:pPr>
      <w:r>
        <w:rPr>
          <w:rFonts w:hint="eastAsia" w:ascii="黑体" w:hAnsi="黑体" w:eastAsia="黑体" w:cs="黑体"/>
          <w:sz w:val="44"/>
          <w:szCs w:val="44"/>
        </w:rPr>
        <w:t>询价采购公告</w:t>
      </w:r>
      <w:r>
        <w:rPr>
          <w:rFonts w:hint="eastAsia" w:ascii="黑体" w:hAnsi="黑体" w:eastAsia="黑体" w:cs="黑体"/>
          <w:sz w:val="44"/>
          <w:szCs w:val="44"/>
          <w:lang w:val="en-US" w:eastAsia="zh-CN"/>
        </w:rPr>
        <w:t>(二次)</w:t>
      </w:r>
    </w:p>
    <w:p>
      <w:pP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销售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w:t>
      </w:r>
    </w:p>
    <w:tbl>
      <w:tblPr>
        <w:tblStyle w:val="10"/>
        <w:tblpPr w:leftFromText="180" w:rightFromText="180" w:vertAnchor="text" w:horzAnchor="page" w:tblpX="1560" w:tblpY="264"/>
        <w:tblOverlap w:val="never"/>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3502"/>
        <w:gridCol w:w="1424"/>
        <w:gridCol w:w="1228"/>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178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502"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42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228"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1082"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2" w:hRule="atLeast"/>
        </w:trPr>
        <w:tc>
          <w:tcPr>
            <w:tcW w:w="178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生活日用品类(SH)</w:t>
            </w:r>
          </w:p>
        </w:tc>
        <w:tc>
          <w:tcPr>
            <w:tcW w:w="3502"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生活日常用品如：毛巾、盆子、卫生纸、水杯等物品</w:t>
            </w:r>
          </w:p>
        </w:tc>
        <w:tc>
          <w:tcPr>
            <w:tcW w:w="142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便民、销售</w:t>
            </w:r>
          </w:p>
        </w:tc>
        <w:tc>
          <w:tcPr>
            <w:tcW w:w="1228"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根据需求</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ind w:left="0" w:leftChars="0"/>
              <w:jc w:val="center"/>
              <w:rPr>
                <w:rFonts w:ascii="仿宋" w:hAnsi="仿宋" w:eastAsia="仿宋" w:cs="仿宋"/>
                <w:sz w:val="24"/>
              </w:rPr>
            </w:pPr>
            <w:r>
              <w:rPr>
                <w:rFonts w:hint="eastAsia" w:ascii="仿宋" w:hAnsi="仿宋" w:eastAsia="仿宋" w:cs="仿宋"/>
                <w:sz w:val="28"/>
                <w:szCs w:val="28"/>
              </w:rPr>
              <w:t>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1、所有产品必须符合国家有关标准；</w:t>
      </w:r>
    </w:p>
    <w:p>
      <w:pPr>
        <w:spacing w:line="460" w:lineRule="exact"/>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w:t>
      </w:r>
      <w:r>
        <w:rPr>
          <w:rFonts w:hint="eastAsia"/>
        </w:rPr>
        <w:t>，</w:t>
      </w:r>
      <w:r>
        <w:rPr>
          <w:rFonts w:hint="eastAsia" w:ascii="仿宋" w:hAnsi="仿宋" w:eastAsia="仿宋" w:cs="仿宋"/>
          <w:sz w:val="32"/>
          <w:szCs w:val="32"/>
        </w:rPr>
        <w:t>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w:t>
      </w:r>
      <w:r>
        <w:rPr>
          <w:rFonts w:hint="eastAsia" w:ascii="仿宋" w:hAnsi="仿宋" w:eastAsia="仿宋" w:cs="仿宋"/>
          <w:b/>
          <w:bCs/>
          <w:sz w:val="28"/>
          <w:szCs w:val="28"/>
        </w:rPr>
        <w:t>营业执照副本、银行基本账户等材料复印件</w:t>
      </w:r>
      <w:r>
        <w:rPr>
          <w:rFonts w:hint="eastAsia" w:ascii="仿宋" w:hAnsi="仿宋" w:eastAsia="仿宋" w:cs="仿宋"/>
          <w:b/>
          <w:bCs/>
          <w:sz w:val="32"/>
          <w:szCs w:val="32"/>
        </w:rPr>
        <w:t>。</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3.物品报价文件格式（报价应包括产品的运费及税费等一切费用）；</w:t>
      </w:r>
    </w:p>
    <w:p>
      <w:pPr>
        <w:spacing w:line="460" w:lineRule="exact"/>
        <w:rPr>
          <w:rFonts w:ascii="仿宋" w:hAnsi="仿宋" w:eastAsia="仿宋" w:cs="仿宋"/>
          <w:sz w:val="32"/>
        </w:rPr>
      </w:pPr>
      <w:bookmarkStart w:id="0" w:name="_Toc12544"/>
      <w:bookmarkEnd w:id="0"/>
      <w:r>
        <w:rPr>
          <w:rFonts w:hint="eastAsia" w:ascii="仿宋" w:hAnsi="仿宋" w:eastAsia="仿宋" w:cs="仿宋"/>
          <w:sz w:val="32"/>
        </w:rPr>
        <w:t>七、报价投递方式及时间：</w:t>
      </w:r>
    </w:p>
    <w:p>
      <w:pPr>
        <w:spacing w:line="460" w:lineRule="exact"/>
        <w:rPr>
          <w:rFonts w:ascii="仿宋" w:hAnsi="仿宋" w:eastAsia="仿宋" w:cs="仿宋"/>
          <w:sz w:val="32"/>
          <w:szCs w:val="32"/>
        </w:rPr>
      </w:pPr>
      <w:r>
        <w:rPr>
          <w:rFonts w:hint="eastAsia" w:ascii="仿宋" w:hAnsi="仿宋" w:eastAsia="仿宋" w:cs="仿宋"/>
          <w:sz w:val="32"/>
          <w:szCs w:val="32"/>
        </w:rPr>
        <w:t>（一）截止时间：2019年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日(下午14:30时止)。</w:t>
      </w:r>
    </w:p>
    <w:p>
      <w:pPr>
        <w:spacing w:line="460" w:lineRule="exact"/>
        <w:rPr>
          <w:rFonts w:ascii="仿宋" w:hAnsi="仿宋" w:eastAsia="仿宋" w:cs="仿宋"/>
          <w:sz w:val="32"/>
          <w:szCs w:val="32"/>
        </w:rPr>
      </w:pPr>
      <w:r>
        <w:rPr>
          <w:rFonts w:hint="eastAsia" w:ascii="仿宋" w:hAnsi="仿宋" w:eastAsia="仿宋" w:cs="仿宋"/>
          <w:sz w:val="32"/>
          <w:szCs w:val="32"/>
        </w:rPr>
        <w:t>（二）现场报价或邮寄报价：</w:t>
      </w:r>
    </w:p>
    <w:p>
      <w:pPr>
        <w:spacing w:line="460" w:lineRule="exact"/>
        <w:ind w:firstLine="560"/>
        <w:rPr>
          <w:rFonts w:ascii="仿宋" w:hAnsi="仿宋" w:eastAsia="仿宋" w:cs="仿宋"/>
          <w:b/>
          <w:bCs/>
          <w:sz w:val="28"/>
          <w:szCs w:val="28"/>
        </w:rPr>
      </w:pPr>
      <w:r>
        <w:rPr>
          <w:rFonts w:hint="eastAsia" w:ascii="仿宋" w:hAnsi="仿宋" w:eastAsia="仿宋" w:cs="仿宋"/>
          <w:sz w:val="32"/>
          <w:szCs w:val="32"/>
        </w:rPr>
        <w:t>请各参与供货商于规定时间内，将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numPr>
          <w:ilvl w:val="0"/>
          <w:numId w:val="3"/>
        </w:numPr>
        <w:spacing w:line="460" w:lineRule="exact"/>
        <w:ind w:firstLine="560"/>
        <w:rPr>
          <w:rFonts w:ascii="仿宋" w:hAnsi="仿宋" w:eastAsia="仿宋" w:cs="仿宋"/>
          <w:sz w:val="32"/>
        </w:rPr>
      </w:pPr>
      <w:r>
        <w:rPr>
          <w:rFonts w:hint="eastAsia" w:ascii="仿宋" w:hAnsi="仿宋" w:eastAsia="仿宋" w:cs="仿宋"/>
          <w:sz w:val="32"/>
        </w:rPr>
        <w:t>本地供应商：询价当天</w:t>
      </w:r>
      <w:r>
        <w:rPr>
          <w:rFonts w:hint="eastAsia" w:ascii="仿宋" w:hAnsi="仿宋" w:eastAsia="仿宋" w:cs="仿宋"/>
          <w:sz w:val="32"/>
          <w:lang w:val="en-US" w:eastAsia="zh-CN"/>
        </w:rPr>
        <w:t>10</w:t>
      </w:r>
      <w:r>
        <w:rPr>
          <w:rFonts w:hint="eastAsia" w:ascii="仿宋" w:hAnsi="仿宋" w:eastAsia="仿宋" w:cs="仿宋"/>
          <w:sz w:val="28"/>
          <w:szCs w:val="28"/>
        </w:rPr>
        <w:t>月</w:t>
      </w:r>
      <w:r>
        <w:rPr>
          <w:rFonts w:hint="eastAsia" w:ascii="仿宋" w:hAnsi="仿宋" w:eastAsia="仿宋" w:cs="仿宋"/>
          <w:sz w:val="28"/>
          <w:szCs w:val="28"/>
          <w:lang w:val="en-US" w:eastAsia="zh-CN"/>
        </w:rPr>
        <w:t>9</w:t>
      </w:r>
      <w:r>
        <w:rPr>
          <w:rFonts w:hint="eastAsia" w:ascii="仿宋" w:hAnsi="仿宋" w:eastAsia="仿宋" w:cs="仿宋"/>
          <w:sz w:val="28"/>
          <w:szCs w:val="28"/>
        </w:rPr>
        <w:t>日下午14:30时请将需求文件</w:t>
      </w:r>
      <w:r>
        <w:rPr>
          <w:rFonts w:hint="eastAsia" w:ascii="仿宋" w:hAnsi="仿宋" w:eastAsia="仿宋" w:cs="仿宋"/>
          <w:sz w:val="32"/>
        </w:rPr>
        <w:t>连同样品送达襄阳市殡仪馆</w:t>
      </w:r>
    </w:p>
    <w:p>
      <w:pPr>
        <w:spacing w:line="460" w:lineRule="exact"/>
        <w:ind w:firstLine="560" w:firstLineChars="200"/>
      </w:pPr>
      <w:r>
        <w:rPr>
          <w:rFonts w:hint="eastAsia"/>
          <w:sz w:val="28"/>
          <w:szCs w:val="28"/>
        </w:rPr>
        <w:t>（2）</w:t>
      </w:r>
      <w:r>
        <w:rPr>
          <w:rFonts w:hint="eastAsia" w:ascii="仿宋" w:hAnsi="仿宋" w:eastAsia="仿宋" w:cs="仿宋"/>
          <w:sz w:val="32"/>
        </w:rPr>
        <w:t>非本地供应商：可同当地供货商一样当天现场报价也可于2019年</w:t>
      </w:r>
      <w:r>
        <w:rPr>
          <w:rFonts w:hint="eastAsia" w:ascii="仿宋" w:hAnsi="仿宋" w:eastAsia="仿宋" w:cs="仿宋"/>
          <w:sz w:val="32"/>
          <w:lang w:val="en-US" w:eastAsia="zh-CN"/>
        </w:rPr>
        <w:t>10</w:t>
      </w:r>
      <w:r>
        <w:rPr>
          <w:rFonts w:hint="eastAsia" w:ascii="仿宋" w:hAnsi="仿宋" w:eastAsia="仿宋" w:cs="仿宋"/>
          <w:sz w:val="32"/>
        </w:rPr>
        <w:t>月</w:t>
      </w:r>
      <w:r>
        <w:rPr>
          <w:rFonts w:hint="eastAsia" w:ascii="仿宋" w:hAnsi="仿宋" w:eastAsia="仿宋" w:cs="仿宋"/>
          <w:sz w:val="32"/>
          <w:lang w:val="en-US" w:eastAsia="zh-CN"/>
        </w:rPr>
        <w:t>9</w:t>
      </w:r>
      <w:r>
        <w:rPr>
          <w:rFonts w:hint="eastAsia" w:ascii="仿宋" w:hAnsi="仿宋" w:eastAsia="仿宋" w:cs="仿宋"/>
          <w:sz w:val="32"/>
        </w:rPr>
        <w:t>日前将文件连同样品一并寄到襄阳市殡仪馆办公室并注明所投项目及包号（地址：湖北省襄阳市高新区团山大道183号联系电话：0710-3810768）。</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我单位评比小组将本着公平、公正、公开原则，对各供货商报价、产品质量、服务、交货期、信誉及其它各方面因素综合评定：</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179632627"/>
      <w:bookmarkStart w:id="2" w:name="_Toc243475830"/>
      <w:bookmarkStart w:id="3" w:name="_Toc238797615"/>
      <w:bookmarkStart w:id="4" w:name="_Toc238552260"/>
      <w:bookmarkStart w:id="5" w:name="_Toc22303"/>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报价文件一律不退，请投标商自留底稿</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经我馆研究确定成交（中标）供货商后并通知，对其他未中标供货商不予通知</w:t>
      </w:r>
    </w:p>
    <w:p>
      <w:pPr>
        <w:numPr>
          <w:ilvl w:val="0"/>
          <w:numId w:val="5"/>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接到成交（中标）通知后须在十五个工作日内前来我馆签订合同，如发生中标供货商未按规定时间签订合同的，我馆将视其放弃，并有权决定第二个中标供货商或重新组织采购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2019年9月</w:t>
      </w:r>
      <w:r>
        <w:rPr>
          <w:rFonts w:hint="eastAsia" w:ascii="仿宋" w:hAnsi="仿宋" w:eastAsia="仿宋" w:cs="仿宋"/>
          <w:sz w:val="32"/>
          <w:szCs w:val="32"/>
          <w:lang w:val="en-US" w:eastAsia="zh-CN"/>
        </w:rPr>
        <w:t>27</w:t>
      </w:r>
      <w:r>
        <w:rPr>
          <w:rFonts w:hint="eastAsia" w:ascii="仿宋" w:hAnsi="仿宋" w:eastAsia="仿宋" w:cs="仿宋"/>
          <w:sz w:val="32"/>
          <w:szCs w:val="32"/>
        </w:rPr>
        <w:t>日</w:t>
      </w:r>
    </w:p>
    <w:p>
      <w:pPr>
        <w:spacing w:line="460" w:lineRule="exact"/>
      </w:pPr>
    </w:p>
    <w:p>
      <w:pPr>
        <w:spacing w:line="460" w:lineRule="exact"/>
      </w:pPr>
    </w:p>
    <w:p>
      <w:pPr/>
    </w:p>
    <w:p>
      <w:pPr/>
    </w:p>
    <w:p>
      <w:pPr/>
    </w:p>
    <w:p>
      <w:pPr/>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资格准入招标结束后，采购产品的最终款式由襄阳市殡仪馆与中标单位洽谈商定。不保证向每个中标人的最低采购量或最低采购金额。</w:t>
      </w:r>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入围单位在招投标结束后至合同签订前提出附加条件或不合理要求，其资格将被取消，产生的后果自负。</w:t>
      </w:r>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因货物滞销造成的材质裂缝或运输搬运造成的非人为因素损害由供应商负责调换。</w:t>
      </w:r>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产品若出现质量问题，襄阳市殡仪馆有权要求供应商进行同比调换。供应商应保证及时更换或更新。</w:t>
      </w:r>
    </w:p>
    <w:p>
      <w:pPr>
        <w:pStyle w:val="7"/>
        <w:widowControl/>
        <w:numPr>
          <w:ilvl w:val="0"/>
          <w:numId w:val="6"/>
        </w:numPr>
        <w:spacing w:before="0" w:beforeAutospacing="0" w:after="136" w:afterAutospacing="0" w:line="360" w:lineRule="auto"/>
        <w:rPr>
          <w:sz w:val="32"/>
          <w:szCs w:val="32"/>
        </w:rPr>
      </w:pPr>
      <w:r>
        <w:rPr>
          <w:rFonts w:hint="eastAsia" w:ascii="仿宋" w:hAnsi="仿宋" w:eastAsia="仿宋" w:cs="仿宋"/>
          <w:color w:val="000000"/>
          <w:sz w:val="32"/>
          <w:szCs w:val="32"/>
          <w:u w:val="single"/>
        </w:rPr>
        <w:t>供应商需按襄阳市殡仪馆销售或购货需求进行供货</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rPr>
          <w:rFonts w:ascii="仿宋" w:hAnsi="仿宋" w:eastAsia="仿宋" w:cs="仿宋"/>
          <w:sz w:val="32"/>
          <w:szCs w:val="32"/>
          <w:u w:val="single"/>
        </w:rPr>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spacing w:after="120"/>
        <w:ind w:firstLine="420" w:firstLineChars="200"/>
      </w:pPr>
    </w:p>
    <w:p>
      <w:pPr>
        <w:pStyle w:val="11"/>
        <w:rPr>
          <w:rFonts w:ascii="黑体" w:hAnsi="宋体"/>
          <w:szCs w:val="28"/>
        </w:rPr>
      </w:pPr>
      <w:bookmarkStart w:id="6" w:name="_Toc243475867"/>
      <w:bookmarkStart w:id="7" w:name="_Toc238797651"/>
      <w:bookmarkStart w:id="8" w:name="_Toc1047"/>
      <w:bookmarkStart w:id="9" w:name="_Toc238552290"/>
    </w:p>
    <w:p>
      <w:pPr/>
    </w:p>
    <w:p>
      <w:pPr/>
    </w:p>
    <w:p>
      <w:pPr/>
    </w:p>
    <w:p>
      <w:pPr/>
    </w:p>
    <w:p>
      <w:pPr/>
    </w:p>
    <w:p>
      <w:pPr>
        <w:pStyle w:val="11"/>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2"/>
        <w:spacing w:beforeLines="50" w:afterLines="50" w:line="420" w:lineRule="exact"/>
        <w:ind w:firstLine="424"/>
        <w:jc w:val="center"/>
        <w:outlineLvl w:val="9"/>
        <w:rPr>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（买方名称，以下简称“买方”）为获得</w:t>
      </w:r>
      <w:r>
        <w:rPr>
          <w:rFonts w:hint="eastAsia" w:ascii="仿宋" w:hAnsi="仿宋" w:eastAsia="仿宋" w:cs="仿宋"/>
          <w:sz w:val="28"/>
          <w:szCs w:val="28"/>
          <w:u w:val="single"/>
        </w:rPr>
        <w:t xml:space="preserve">　      </w:t>
      </w:r>
      <w:r>
        <w:rPr>
          <w:rFonts w:hint="eastAsia" w:ascii="仿宋" w:hAnsi="仿宋" w:eastAsia="仿宋" w:cs="仿宋"/>
          <w:sz w:val="28"/>
          <w:szCs w:val="28"/>
        </w:rPr>
        <w:t>（项目名称）（货物名称及标包号）货物及服务，已接受（卖方名称，以下简称“卖方”）对上述货物及服务的投标。</w:t>
      </w:r>
    </w:p>
    <w:p>
      <w:pPr>
        <w:adjustRightInd w:val="0"/>
        <w:snapToGrid w:val="0"/>
        <w:spacing w:line="400" w:lineRule="exact"/>
        <w:rPr>
          <w:rFonts w:ascii="仿宋" w:hAnsi="仿宋" w:eastAsia="仿宋" w:cs="仿宋"/>
          <w:sz w:val="28"/>
          <w:szCs w:val="28"/>
        </w:rPr>
      </w:pPr>
      <w:r>
        <w:rPr>
          <w:rFonts w:hint="eastAsia" w:ascii="仿宋" w:hAnsi="仿宋" w:eastAsia="仿宋" w:cs="仿宋"/>
          <w:sz w:val="28"/>
          <w:szCs w:val="28"/>
        </w:rPr>
        <w:t>买卖双方共同达成如下协议。</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1．本合同协议书与下列文件一起构成合同文件：</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（1）中标通知书；</w:t>
      </w:r>
      <w:bookmarkStart w:id="12" w:name="_GoBack"/>
      <w:bookmarkEnd w:id="12"/>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（2）报价一览表；</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（3）合同条款；</w:t>
      </w:r>
    </w:p>
    <w:p>
      <w:pPr>
        <w:pStyle w:val="6"/>
        <w:tabs>
          <w:tab w:val="right" w:pos="8306"/>
        </w:tabs>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（4）货物需求一览表； </w:t>
      </w:r>
      <w:r>
        <w:rPr>
          <w:rFonts w:hint="eastAsia" w:ascii="仿宋" w:hAnsi="仿宋" w:eastAsia="仿宋" w:cs="仿宋"/>
          <w:sz w:val="28"/>
          <w:szCs w:val="28"/>
        </w:rPr>
        <w:tab/>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（5）其他合同文件。</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2．上述文件应相互补充和相互解释，在不明确或矛盾时，应按以上顺序在先者为准。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3．本合同供应期限为：一年。</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4．卖方承诺按合同约定向买方提供符合合同要求的货物及服务，买方承诺按合同约定支付价款。</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5．本合同正本一式份，买卖双方各执 份，具有同等法律效力；副本份，买方执份，卖方执份。</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6．合同未尽事宜，双方另行签订补充协议。补充协议是合同的组成部分。</w:t>
      </w:r>
    </w:p>
    <w:p>
      <w:pPr>
        <w:pStyle w:val="6"/>
        <w:adjustRightInd w:val="0"/>
        <w:snapToGrid w:val="0"/>
        <w:spacing w:line="420" w:lineRule="exact"/>
        <w:ind w:firstLine="420"/>
        <w:rPr>
          <w:rFonts w:ascii="仿宋" w:hAnsi="仿宋" w:eastAsia="仿宋" w:cs="仿宋"/>
          <w:sz w:val="28"/>
          <w:szCs w:val="28"/>
        </w:rPr>
      </w:pP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买方：（盖单位章）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卖方：（盖单位章）</w:t>
      </w:r>
    </w:p>
    <w:p>
      <w:pPr>
        <w:pStyle w:val="6"/>
        <w:adjustRightInd w:val="0"/>
        <w:snapToGrid w:val="0"/>
        <w:spacing w:line="400" w:lineRule="exact"/>
        <w:ind w:firstLine="420"/>
        <w:jc w:val="left"/>
        <w:rPr>
          <w:rFonts w:ascii="仿宋" w:hAnsi="仿宋" w:eastAsia="仿宋" w:cs="仿宋"/>
          <w:sz w:val="28"/>
          <w:szCs w:val="28"/>
          <w:u w:val="single"/>
        </w:rPr>
      </w:pPr>
      <w:r>
        <w:rPr>
          <w:rFonts w:hint="eastAsia" w:ascii="仿宋" w:hAnsi="仿宋" w:eastAsia="仿宋" w:cs="仿宋"/>
          <w:sz w:val="28"/>
          <w:szCs w:val="28"/>
        </w:rPr>
        <w:t xml:space="preserve">代表人签字：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代表人签字：</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邮编：</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信用代码：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信用代码：</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开户银行名称：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开户银行名称：</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银行账号：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银行账号：</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联系人：</w:t>
      </w:r>
    </w:p>
    <w:p>
      <w:pPr>
        <w:pStyle w:val="6"/>
        <w:adjustRightInd w:val="0"/>
        <w:snapToGrid w:val="0"/>
        <w:spacing w:line="400" w:lineRule="exact"/>
        <w:ind w:firstLine="420"/>
        <w:jc w:val="left"/>
        <w:rPr>
          <w:rFonts w:ascii="仿宋" w:hAnsi="仿宋" w:eastAsia="仿宋" w:cs="仿宋"/>
          <w:sz w:val="28"/>
          <w:szCs w:val="28"/>
        </w:rPr>
      </w:pPr>
      <w:r>
        <w:rPr>
          <w:rFonts w:hint="eastAsia" w:ascii="仿宋" w:hAnsi="仿宋" w:eastAsia="仿宋" w:cs="仿宋"/>
          <w:sz w:val="28"/>
          <w:szCs w:val="28"/>
        </w:rPr>
        <w:t>电话：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pPr>
        <w:adjustRightInd w:val="0"/>
        <w:snapToGrid w:val="0"/>
        <w:spacing w:line="400" w:lineRule="exact"/>
        <w:ind w:right="420" w:firstLine="5516" w:firstLineChars="1970"/>
        <w:jc w:val="left"/>
        <w:rPr>
          <w:rFonts w:hint="eastAsia" w:ascii="仿宋" w:hAnsi="仿宋" w:eastAsia="仿宋" w:cs="仿宋"/>
          <w:sz w:val="28"/>
          <w:szCs w:val="28"/>
        </w:rPr>
      </w:pPr>
    </w:p>
    <w:p>
      <w:pPr>
        <w:adjustRightInd w:val="0"/>
        <w:snapToGrid w:val="0"/>
        <w:spacing w:line="400" w:lineRule="exact"/>
        <w:ind w:right="420" w:firstLine="5516" w:firstLineChars="1970"/>
        <w:jc w:val="left"/>
        <w:rPr>
          <w:rFonts w:ascii="黑体" w:hAnsi="黑体" w:eastAsia="黑体" w:cs="黑体"/>
          <w:sz w:val="32"/>
          <w:szCs w:val="32"/>
        </w:rPr>
      </w:pPr>
      <w:r>
        <w:rPr>
          <w:rFonts w:hint="eastAsia" w:ascii="仿宋" w:hAnsi="仿宋" w:eastAsia="仿宋" w:cs="仿宋"/>
          <w:sz w:val="28"/>
          <w:szCs w:val="28"/>
        </w:rPr>
        <w:t>日期：年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pPr>
        <w:rPr>
          <w:rFonts w:ascii="黑体" w:hAnsi="黑体" w:eastAsia="黑体" w:cs="黑体"/>
          <w:sz w:val="32"/>
          <w:szCs w:val="32"/>
        </w:rPr>
      </w:pPr>
      <w:r>
        <w:rPr>
          <w:rFonts w:hint="eastAsia" w:ascii="黑体" w:hAnsi="黑体" w:eastAsia="黑体" w:cs="黑体"/>
          <w:sz w:val="32"/>
          <w:szCs w:val="32"/>
        </w:rPr>
        <w:t>附件三：</w:t>
      </w:r>
    </w:p>
    <w:p>
      <w:pPr>
        <w:jc w:val="center"/>
        <w:rPr>
          <w:rFonts w:ascii="黑体" w:hAnsi="黑体" w:eastAsia="黑体" w:cs="黑体"/>
          <w:sz w:val="44"/>
          <w:szCs w:val="44"/>
        </w:rPr>
      </w:pPr>
      <w:r>
        <w:rPr>
          <w:rFonts w:hint="eastAsia" w:ascii="黑体" w:hAnsi="黑体" w:eastAsia="黑体" w:cs="黑体"/>
          <w:sz w:val="44"/>
          <w:szCs w:val="44"/>
        </w:rPr>
        <w:t>物品报价一览表</w:t>
      </w:r>
    </w:p>
    <w:tbl>
      <w:tblPr>
        <w:tblStyle w:val="10"/>
        <w:tblpPr w:leftFromText="180" w:rightFromText="180" w:vertAnchor="text" w:horzAnchor="page" w:tblpXSpec="center" w:tblpY="934"/>
        <w:tblOverlap w:val="never"/>
        <w:tblW w:w="92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410"/>
        <w:gridCol w:w="1620"/>
        <w:gridCol w:w="1515"/>
        <w:gridCol w:w="855"/>
        <w:gridCol w:w="1065"/>
        <w:gridCol w:w="1140"/>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spacing w:before="0" w:beforeAutospacing="0" w:after="0" w:afterAutospacing="0"/>
              <w:jc w:val="center"/>
              <w:rPr>
                <w:rFonts w:ascii="仿宋" w:hAnsi="仿宋" w:eastAsia="仿宋" w:cs="仿宋"/>
                <w:sz w:val="28"/>
                <w:szCs w:val="28"/>
              </w:rPr>
            </w:pPr>
            <w:r>
              <w:rPr>
                <w:rFonts w:hint="eastAsia" w:ascii="仿宋" w:hAnsi="仿宋" w:eastAsia="仿宋" w:cs="仿宋"/>
                <w:sz w:val="28"/>
                <w:szCs w:val="28"/>
              </w:rPr>
              <w:t>类别</w:t>
            </w:r>
          </w:p>
        </w:tc>
        <w:tc>
          <w:tcPr>
            <w:tcW w:w="1410"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商品名称</w:t>
            </w:r>
          </w:p>
        </w:tc>
        <w:tc>
          <w:tcPr>
            <w:tcW w:w="1620"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产地或厂家</w:t>
            </w:r>
          </w:p>
        </w:tc>
        <w:tc>
          <w:tcPr>
            <w:tcW w:w="1515"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规格型号</w:t>
            </w:r>
          </w:p>
        </w:tc>
        <w:tc>
          <w:tcPr>
            <w:tcW w:w="855"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单位</w:t>
            </w:r>
          </w:p>
        </w:tc>
        <w:tc>
          <w:tcPr>
            <w:tcW w:w="1065"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零售价</w:t>
            </w:r>
          </w:p>
        </w:tc>
        <w:tc>
          <w:tcPr>
            <w:tcW w:w="1140"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折扣率</w:t>
            </w:r>
          </w:p>
        </w:tc>
        <w:tc>
          <w:tcPr>
            <w:tcW w:w="825" w:type="dxa"/>
            <w:tcBorders>
              <w:top w:val="single" w:color="auto" w:sz="4" w:space="0"/>
              <w:left w:val="single" w:color="auto" w:sz="4" w:space="0"/>
              <w:bottom w:val="single" w:color="auto" w:sz="4" w:space="0"/>
              <w:right w:val="single" w:color="auto" w:sz="4" w:space="0"/>
            </w:tcBorders>
          </w:tcPr>
          <w:p>
            <w:pPr>
              <w:pStyle w:val="7"/>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扑克</w:t>
            </w:r>
          </w:p>
        </w:tc>
        <w:tc>
          <w:tcPr>
            <w:tcW w:w="162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vAlign w:val="center"/>
          </w:tcPr>
          <w:p>
            <w:pPr>
              <w:pStyle w:val="7"/>
              <w:rPr>
                <w:rFonts w:ascii="仿宋" w:hAnsi="仿宋" w:eastAsia="仿宋" w:cs="仿宋"/>
                <w:szCs w:val="24"/>
              </w:rPr>
            </w:pPr>
            <w:r>
              <w:rPr>
                <w:rFonts w:hint="eastAsia" w:ascii="仿宋" w:hAnsi="仿宋" w:eastAsia="仿宋" w:cs="仿宋"/>
                <w:szCs w:val="24"/>
              </w:rPr>
              <w:t>280g蓝芯纸</w:t>
            </w:r>
          </w:p>
        </w:tc>
        <w:tc>
          <w:tcPr>
            <w:tcW w:w="85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付</w:t>
            </w:r>
          </w:p>
        </w:tc>
        <w:tc>
          <w:tcPr>
            <w:tcW w:w="106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95"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SH</w:t>
            </w:r>
          </w:p>
        </w:tc>
        <w:tc>
          <w:tcPr>
            <w:tcW w:w="1410"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火机</w:t>
            </w:r>
          </w:p>
        </w:tc>
        <w:tc>
          <w:tcPr>
            <w:tcW w:w="1620"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一次性</w:t>
            </w:r>
          </w:p>
        </w:tc>
        <w:tc>
          <w:tcPr>
            <w:tcW w:w="855"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个</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tcPr>
          <w:p>
            <w:pPr>
              <w:pStyle w:val="7"/>
              <w:rPr>
                <w:rFonts w:ascii="仿宋" w:hAnsi="仿宋" w:eastAsia="仿宋" w:cs="仿宋"/>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塑料盆</w:t>
            </w:r>
          </w:p>
        </w:tc>
        <w:tc>
          <w:tcPr>
            <w:tcW w:w="162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口径40cm</w:t>
            </w:r>
          </w:p>
        </w:tc>
        <w:tc>
          <w:tcPr>
            <w:tcW w:w="85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个</w:t>
            </w:r>
          </w:p>
        </w:tc>
        <w:tc>
          <w:tcPr>
            <w:tcW w:w="106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rPr>
                <w:rFonts w:ascii="仿宋" w:hAnsi="仿宋" w:eastAsia="仿宋" w:cs="仿宋"/>
                <w:szCs w:val="24"/>
              </w:rPr>
            </w:pPr>
            <w:r>
              <w:rPr>
                <w:rFonts w:hint="eastAsia" w:ascii="仿宋" w:hAnsi="仿宋" w:eastAsia="仿宋" w:cs="仿宋"/>
                <w:szCs w:val="24"/>
              </w:rPr>
              <w:t>毛巾</w:t>
            </w:r>
          </w:p>
        </w:tc>
        <w:tc>
          <w:tcPr>
            <w:tcW w:w="162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全棉33*74（CM）</w:t>
            </w:r>
          </w:p>
        </w:tc>
        <w:tc>
          <w:tcPr>
            <w:tcW w:w="85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条</w:t>
            </w:r>
          </w:p>
        </w:tc>
        <w:tc>
          <w:tcPr>
            <w:tcW w:w="106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香皂</w:t>
            </w:r>
          </w:p>
        </w:tc>
        <w:tc>
          <w:tcPr>
            <w:tcW w:w="162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梦幻</w:t>
            </w:r>
          </w:p>
        </w:tc>
        <w:tc>
          <w:tcPr>
            <w:tcW w:w="151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5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块</w:t>
            </w:r>
          </w:p>
        </w:tc>
        <w:tc>
          <w:tcPr>
            <w:tcW w:w="106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rPr>
                <w:rFonts w:ascii="仿宋" w:hAnsi="仿宋" w:eastAsia="仿宋" w:cs="仿宋"/>
                <w:szCs w:val="24"/>
              </w:rPr>
            </w:pPr>
            <w:r>
              <w:rPr>
                <w:rFonts w:hint="eastAsia" w:ascii="仿宋" w:hAnsi="仿宋" w:eastAsia="仿宋" w:cs="仿宋"/>
                <w:szCs w:val="24"/>
              </w:rPr>
              <w:t>党旗</w:t>
            </w:r>
          </w:p>
        </w:tc>
        <w:tc>
          <w:tcPr>
            <w:tcW w:w="162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4#</w:t>
            </w:r>
          </w:p>
        </w:tc>
        <w:tc>
          <w:tcPr>
            <w:tcW w:w="85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面</w:t>
            </w:r>
          </w:p>
        </w:tc>
        <w:tc>
          <w:tcPr>
            <w:tcW w:w="106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rPr>
                <w:rFonts w:ascii="仿宋" w:hAnsi="仿宋" w:eastAsia="仿宋" w:cs="仿宋"/>
                <w:szCs w:val="24"/>
              </w:rPr>
            </w:pPr>
            <w:r>
              <w:rPr>
                <w:rFonts w:hint="eastAsia" w:ascii="仿宋" w:hAnsi="仿宋" w:eastAsia="仿宋" w:cs="仿宋"/>
                <w:szCs w:val="24"/>
              </w:rPr>
              <w:t>伞</w:t>
            </w:r>
          </w:p>
        </w:tc>
        <w:tc>
          <w:tcPr>
            <w:tcW w:w="162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黑色</w:t>
            </w:r>
          </w:p>
        </w:tc>
        <w:tc>
          <w:tcPr>
            <w:tcW w:w="85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r>
              <w:rPr>
                <w:rFonts w:hint="eastAsia" w:ascii="仿宋" w:hAnsi="仿宋" w:eastAsia="仿宋" w:cs="仿宋"/>
                <w:szCs w:val="24"/>
              </w:rPr>
              <w:t>把</w:t>
            </w:r>
          </w:p>
        </w:tc>
        <w:tc>
          <w:tcPr>
            <w:tcW w:w="106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抽纸</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 w:val="21"/>
                <w:szCs w:val="21"/>
              </w:rPr>
            </w:pPr>
            <w:r>
              <w:rPr>
                <w:rFonts w:hint="eastAsia" w:ascii="仿宋" w:hAnsi="仿宋" w:eastAsia="仿宋" w:cs="仿宋"/>
                <w:sz w:val="21"/>
                <w:szCs w:val="21"/>
              </w:rPr>
              <w:t>2层130*185（MM）/张*200抽*3包</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提</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widowControl/>
              <w:spacing w:before="0" w:after="0"/>
              <w:rPr>
                <w:rFonts w:ascii="仿宋" w:hAnsi="仿宋" w:eastAsia="仿宋" w:cs="仿宋"/>
                <w:szCs w:val="24"/>
              </w:rPr>
            </w:pPr>
            <w:r>
              <w:rPr>
                <w:rFonts w:hint="eastAsia" w:ascii="仿宋" w:hAnsi="仿宋" w:eastAsia="仿宋" w:cs="仿宋"/>
                <w:szCs w:val="24"/>
              </w:rPr>
              <w:t>卫生棉</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洁婷夜用/290CM</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包</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杀虫剂</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枪手</w:t>
            </w: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瓶</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蚊蝇香</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榄菊</w:t>
            </w: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10盘/盒</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盒</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widowControl/>
              <w:spacing w:before="0" w:after="0"/>
              <w:rPr>
                <w:rFonts w:ascii="仿宋" w:hAnsi="仿宋" w:eastAsia="仿宋" w:cs="仿宋"/>
                <w:szCs w:val="24"/>
              </w:rPr>
            </w:pPr>
            <w:r>
              <w:rPr>
                <w:rFonts w:hint="eastAsia" w:ascii="仿宋" w:hAnsi="仿宋" w:eastAsia="仿宋" w:cs="仿宋"/>
                <w:szCs w:val="24"/>
              </w:rPr>
              <w:t>维克奇航空水杯</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湖南维克奇纸塑包装有限公司</w:t>
            </w: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200ML100只/袋</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袋</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b/>
                <w:bCs/>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widowControl/>
              <w:spacing w:before="0" w:after="0"/>
              <w:rPr>
                <w:szCs w:val="24"/>
              </w:rPr>
            </w:pPr>
            <w:r>
              <w:rPr>
                <w:rFonts w:hint="eastAsia" w:ascii="仿宋" w:hAnsi="仿宋" w:eastAsia="仿宋" w:cs="仿宋"/>
                <w:szCs w:val="24"/>
              </w:rPr>
              <w:t>牙刷</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独立包装一次性的</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支</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widowControl/>
              <w:spacing w:before="0" w:after="0"/>
              <w:rPr>
                <w:rFonts w:ascii="仿宋" w:hAnsi="仿宋" w:eastAsia="仿宋" w:cs="仿宋"/>
                <w:szCs w:val="24"/>
              </w:rPr>
            </w:pPr>
            <w:r>
              <w:rPr>
                <w:rFonts w:hint="eastAsia" w:ascii="仿宋" w:hAnsi="仿宋" w:eastAsia="仿宋" w:cs="仿宋"/>
                <w:szCs w:val="24"/>
              </w:rPr>
              <w:t>牙膏</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40g</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盒</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widowControl/>
              <w:spacing w:before="0" w:after="0"/>
              <w:rPr>
                <w:rFonts w:ascii="仿宋" w:hAnsi="仿宋" w:eastAsia="仿宋" w:cs="仿宋"/>
                <w:szCs w:val="24"/>
              </w:rPr>
            </w:pPr>
            <w:r>
              <w:rPr>
                <w:rFonts w:hint="eastAsia" w:ascii="仿宋" w:hAnsi="仿宋" w:eastAsia="仿宋" w:cs="仿宋"/>
                <w:szCs w:val="24"/>
              </w:rPr>
              <w:t>电池</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南孚</w:t>
            </w: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5#、7#</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支</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9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SH</w:t>
            </w:r>
          </w:p>
        </w:tc>
        <w:tc>
          <w:tcPr>
            <w:tcW w:w="1410" w:type="dxa"/>
            <w:tcBorders>
              <w:top w:val="single" w:color="auto" w:sz="4" w:space="0"/>
              <w:left w:val="single" w:color="auto" w:sz="4" w:space="0"/>
              <w:bottom w:val="single" w:color="auto" w:sz="4" w:space="0"/>
              <w:right w:val="single" w:color="auto" w:sz="4" w:space="0"/>
            </w:tcBorders>
            <w:vAlign w:val="center"/>
          </w:tcPr>
          <w:p>
            <w:pPr>
              <w:pStyle w:val="7"/>
              <w:widowControl/>
              <w:spacing w:before="0" w:after="0"/>
              <w:rPr>
                <w:rFonts w:ascii="仿宋" w:hAnsi="仿宋" w:eastAsia="仿宋" w:cs="仿宋"/>
                <w:szCs w:val="24"/>
              </w:rPr>
            </w:pPr>
            <w:r>
              <w:rPr>
                <w:rFonts w:hint="eastAsia" w:ascii="仿宋" w:hAnsi="仿宋" w:eastAsia="仿宋" w:cs="仿宋"/>
                <w:szCs w:val="24"/>
              </w:rPr>
              <w:t>电池</w:t>
            </w:r>
          </w:p>
        </w:tc>
        <w:tc>
          <w:tcPr>
            <w:tcW w:w="1620" w:type="dxa"/>
            <w:tcBorders>
              <w:top w:val="single" w:color="auto" w:sz="4" w:space="0"/>
              <w:left w:val="single" w:color="auto" w:sz="4" w:space="0"/>
              <w:bottom w:val="single" w:color="auto" w:sz="4" w:space="0"/>
              <w:right w:val="single" w:color="auto" w:sz="4" w:space="0"/>
            </w:tcBorders>
          </w:tcPr>
          <w:p>
            <w:pPr>
              <w:pStyle w:val="7"/>
              <w:widowControl/>
              <w:spacing w:before="0" w:after="0"/>
              <w:rPr>
                <w:szCs w:val="24"/>
              </w:rPr>
            </w:pPr>
            <w:r>
              <w:rPr>
                <w:rFonts w:hint="eastAsia" w:ascii="仿宋" w:hAnsi="仿宋" w:eastAsia="仿宋" w:cs="仿宋"/>
                <w:szCs w:val="24"/>
              </w:rPr>
              <w:t>南孚</w:t>
            </w:r>
          </w:p>
        </w:tc>
        <w:tc>
          <w:tcPr>
            <w:tcW w:w="151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9v</w:t>
            </w:r>
          </w:p>
        </w:tc>
        <w:tc>
          <w:tcPr>
            <w:tcW w:w="85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r>
              <w:rPr>
                <w:rFonts w:hint="eastAsia" w:ascii="仿宋" w:hAnsi="仿宋" w:eastAsia="仿宋" w:cs="仿宋"/>
                <w:szCs w:val="24"/>
              </w:rPr>
              <w:t>支</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6195" w:type="dxa"/>
            <w:gridSpan w:val="5"/>
            <w:tcBorders>
              <w:top w:val="single" w:color="auto" w:sz="4" w:space="0"/>
              <w:left w:val="single" w:color="auto" w:sz="4" w:space="0"/>
              <w:bottom w:val="single" w:color="auto" w:sz="4" w:space="0"/>
              <w:right w:val="single" w:color="auto" w:sz="4" w:space="0"/>
            </w:tcBorders>
          </w:tcPr>
          <w:p>
            <w:pPr>
              <w:pStyle w:val="7"/>
              <w:widowControl/>
              <w:spacing w:before="0" w:after="0"/>
              <w:jc w:val="center"/>
              <w:rPr>
                <w:rFonts w:ascii="仿宋" w:hAnsi="仿宋" w:eastAsia="仿宋" w:cs="仿宋"/>
                <w:szCs w:val="24"/>
              </w:rPr>
            </w:pPr>
            <w:r>
              <w:rPr>
                <w:rFonts w:hint="eastAsia" w:ascii="仿宋" w:hAnsi="仿宋" w:eastAsia="仿宋" w:cs="仿宋"/>
                <w:b/>
                <w:bCs/>
                <w:sz w:val="32"/>
                <w:szCs w:val="32"/>
              </w:rPr>
              <w:t>总合计</w:t>
            </w:r>
          </w:p>
        </w:tc>
        <w:tc>
          <w:tcPr>
            <w:tcW w:w="106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1140"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c>
          <w:tcPr>
            <w:tcW w:w="825" w:type="dxa"/>
            <w:tcBorders>
              <w:top w:val="single" w:color="auto" w:sz="4" w:space="0"/>
              <w:left w:val="single" w:color="auto" w:sz="4" w:space="0"/>
              <w:bottom w:val="single" w:color="auto" w:sz="4" w:space="0"/>
              <w:right w:val="single" w:color="auto" w:sz="4" w:space="0"/>
            </w:tcBorders>
          </w:tcPr>
          <w:p>
            <w:pPr>
              <w:pStyle w:val="7"/>
              <w:widowControl/>
              <w:spacing w:before="0" w:after="0"/>
              <w:rPr>
                <w:rFonts w:ascii="仿宋" w:hAnsi="仿宋" w:eastAsia="仿宋" w:cs="仿宋"/>
                <w:szCs w:val="24"/>
              </w:rPr>
            </w:pPr>
          </w:p>
        </w:tc>
      </w:tr>
    </w:tbl>
    <w:p>
      <w:pPr>
        <w:pStyle w:val="7"/>
        <w:jc w:val="center"/>
        <w:rPr>
          <w:sz w:val="21"/>
          <w:szCs w:val="21"/>
        </w:rPr>
      </w:pPr>
      <w:r>
        <w:rPr>
          <w:rFonts w:hint="eastAsia"/>
          <w:b/>
          <w:bCs/>
          <w:sz w:val="21"/>
          <w:szCs w:val="21"/>
        </w:rPr>
        <w:t>(不限于以下物品)</w:t>
      </w:r>
    </w:p>
    <w:p>
      <w:pPr/>
    </w:p>
    <w:p>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0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0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2327403">
    <w:nsid w:val="55F82B6B"/>
    <w:multiLevelType w:val="singleLevel"/>
    <w:tmpl w:val="55F82B6B"/>
    <w:lvl w:ilvl="0" w:tentative="1">
      <w:start w:val="1"/>
      <w:numFmt w:val="chineseCounting"/>
      <w:suff w:val="nothing"/>
      <w:lvlText w:val="%1、"/>
      <w:lvlJc w:val="left"/>
    </w:lvl>
  </w:abstractNum>
  <w:abstractNum w:abstractNumId="1442900993">
    <w:nsid w:val="5600EC01"/>
    <w:multiLevelType w:val="singleLevel"/>
    <w:tmpl w:val="5600EC01"/>
    <w:lvl w:ilvl="0" w:tentative="1">
      <w:start w:val="1"/>
      <w:numFmt w:val="decimal"/>
      <w:suff w:val="nothing"/>
      <w:lvlText w:val="%1、"/>
      <w:lvlJc w:val="left"/>
    </w:lvl>
  </w:abstractNum>
  <w:abstractNum w:abstractNumId="1442898006">
    <w:nsid w:val="5600E056"/>
    <w:multiLevelType w:val="singleLevel"/>
    <w:tmpl w:val="5600E056"/>
    <w:lvl w:ilvl="0" w:tentative="1">
      <w:start w:val="4"/>
      <w:numFmt w:val="chineseCounting"/>
      <w:suff w:val="nothing"/>
      <w:lvlText w:val="%1、"/>
      <w:lvlJc w:val="left"/>
    </w:lvl>
  </w:abstractNum>
  <w:abstractNum w:abstractNumId="1440601336">
    <w:nsid w:val="55DDD4F8"/>
    <w:multiLevelType w:val="singleLevel"/>
    <w:tmpl w:val="55DDD4F8"/>
    <w:lvl w:ilvl="0" w:tentative="1">
      <w:start w:val="1"/>
      <w:numFmt w:val="chineseCounting"/>
      <w:suff w:val="nothing"/>
      <w:lvlText w:val="（%1）"/>
      <w:lvlJc w:val="left"/>
    </w:lvl>
  </w:abstractNum>
  <w:abstractNum w:abstractNumId="2242192319">
    <w:nsid w:val="85A523BF"/>
    <w:multiLevelType w:val="singleLevel"/>
    <w:tmpl w:val="85A523BF"/>
    <w:lvl w:ilvl="0" w:tentative="1">
      <w:start w:val="1"/>
      <w:numFmt w:val="decimal"/>
      <w:suff w:val="nothing"/>
      <w:lvlText w:val="（%1）"/>
      <w:lvlJc w:val="left"/>
    </w:lvl>
  </w:abstractNum>
  <w:abstractNum w:abstractNumId="1442901452">
    <w:nsid w:val="5600EDCC"/>
    <w:multiLevelType w:val="singleLevel"/>
    <w:tmpl w:val="5600EDCC"/>
    <w:lvl w:ilvl="0" w:tentative="1">
      <w:start w:val="1"/>
      <w:numFmt w:val="decimal"/>
      <w:suff w:val="nothing"/>
      <w:lvlText w:val="%1、"/>
      <w:lvlJc w:val="left"/>
    </w:lvl>
  </w:abstractNum>
  <w:num w:numId="1">
    <w:abstractNumId w:val="1442327403"/>
  </w:num>
  <w:num w:numId="2">
    <w:abstractNumId w:val="1442898006"/>
  </w:num>
  <w:num w:numId="3">
    <w:abstractNumId w:val="2242192319"/>
  </w:num>
  <w:num w:numId="4">
    <w:abstractNumId w:val="1442900993"/>
  </w:num>
  <w:num w:numId="5">
    <w:abstractNumId w:val="1442901452"/>
  </w:num>
  <w:num w:numId="6">
    <w:abstractNumId w:val="14406013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E7A"/>
    <w:rsid w:val="00191E7A"/>
    <w:rsid w:val="16B90058"/>
    <w:rsid w:val="37E9247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Normal (Web)"/>
    <w:basedOn w:val="1"/>
    <w:unhideWhenUsed/>
    <w:qFormat/>
    <w:uiPriority w:val="99"/>
    <w:pPr>
      <w:spacing w:before="100" w:beforeAutospacing="1" w:after="100" w:afterAutospacing="1"/>
      <w:jc w:val="left"/>
    </w:pPr>
    <w:rPr>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2019-09-25T09:17:00Z</dcterms:created>
  <dc:creator>俊儿1409552745</dc:creator>
  <cp:lastModifiedBy>Administrator</cp:lastModifiedBy>
  <dcterms:modified xsi:type="dcterms:W3CDTF">2019-09-26T09:54:08Z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