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襄阳市殡仪馆销售物品(副食类)</w:t>
      </w:r>
    </w:p>
    <w:p>
      <w:pPr>
        <w:jc w:val="center"/>
        <w:rPr>
          <w:rFonts w:hint="default" w:ascii="黑体" w:hAnsi="黑体" w:eastAsia="黑体" w:cs="黑体"/>
          <w:sz w:val="44"/>
          <w:szCs w:val="44"/>
          <w:lang w:val="en-US" w:eastAsia="zh-CN"/>
        </w:rPr>
      </w:pPr>
      <w:r>
        <w:rPr>
          <w:rFonts w:hint="eastAsia" w:ascii="黑体" w:hAnsi="黑体" w:eastAsia="黑体" w:cs="黑体"/>
          <w:sz w:val="44"/>
          <w:szCs w:val="44"/>
        </w:rPr>
        <w:t>询价采购公告</w:t>
      </w:r>
      <w:r>
        <w:rPr>
          <w:rFonts w:hint="eastAsia" w:ascii="黑体" w:hAnsi="黑体" w:eastAsia="黑体" w:cs="黑体"/>
          <w:sz w:val="44"/>
          <w:szCs w:val="44"/>
          <w:lang w:val="en-US" w:eastAsia="zh-CN"/>
        </w:rPr>
        <w:t>(二次)</w:t>
      </w:r>
    </w:p>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根据《襄阳市政府采购目录及采购限额标准》规定，经财政局政府采购中心和市民政局批准，为进一步规范襄阳市殡仪馆物品采购工作，确保采购过程公开透明，采购结果客观公正，本着“节约采购资金、缩短采购周期、严格采购程序”的原则，结合实际,拟定襄阳市殡仪馆销售物品询价采购方案，具体如下：</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 xml:space="preserve">采购方式：询价采购  </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供货周期：1年/周期（要求周期内价格不变，如周期外价格不变且供货及时、售后服务好的情况下，可续签合同，最多不超过3年）</w:t>
      </w:r>
    </w:p>
    <w:p>
      <w:pPr>
        <w:spacing w:line="460" w:lineRule="exact"/>
        <w:rPr>
          <w:rFonts w:ascii="仿宋" w:hAnsi="仿宋" w:eastAsia="仿宋" w:cs="仿宋"/>
          <w:sz w:val="32"/>
          <w:szCs w:val="32"/>
        </w:rPr>
      </w:pPr>
      <w:r>
        <w:rPr>
          <w:rFonts w:hint="eastAsia" w:ascii="仿宋" w:hAnsi="仿宋" w:eastAsia="仿宋" w:cs="仿宋"/>
          <w:sz w:val="32"/>
          <w:szCs w:val="32"/>
        </w:rPr>
        <w:t>三、询价项目概况（范围、内容、用途、数量）：（具体货品见附件三）</w:t>
      </w:r>
    </w:p>
    <w:tbl>
      <w:tblPr>
        <w:tblStyle w:val="9"/>
        <w:tblpPr w:leftFromText="180" w:rightFromText="180" w:vertAnchor="text" w:horzAnchor="page" w:tblpX="1560" w:tblpY="264"/>
        <w:tblOverlap w:val="never"/>
        <w:tblW w:w="8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3573"/>
        <w:gridCol w:w="1383"/>
        <w:gridCol w:w="118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1561"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类别</w:t>
            </w:r>
          </w:p>
        </w:tc>
        <w:tc>
          <w:tcPr>
            <w:tcW w:w="3573"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范围内容</w:t>
            </w:r>
          </w:p>
        </w:tc>
        <w:tc>
          <w:tcPr>
            <w:tcW w:w="1383"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用途</w:t>
            </w:r>
          </w:p>
        </w:tc>
        <w:tc>
          <w:tcPr>
            <w:tcW w:w="1189"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数量</w:t>
            </w:r>
          </w:p>
        </w:tc>
        <w:tc>
          <w:tcPr>
            <w:tcW w:w="1159"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供货商（家）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2" w:hRule="atLeast"/>
        </w:trPr>
        <w:tc>
          <w:tcPr>
            <w:tcW w:w="1561"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副食品类(FS)</w:t>
            </w:r>
          </w:p>
        </w:tc>
        <w:tc>
          <w:tcPr>
            <w:tcW w:w="3573" w:type="dxa"/>
            <w:noWrap/>
            <w:vAlign w:val="center"/>
          </w:tcPr>
          <w:p>
            <w:pPr>
              <w:widowControl/>
              <w:spacing w:line="460" w:lineRule="exact"/>
              <w:jc w:val="center"/>
              <w:rPr>
                <w:rFonts w:ascii="仿宋" w:hAnsi="仿宋" w:eastAsia="仿宋" w:cs="仿宋"/>
                <w:sz w:val="24"/>
                <w:szCs w:val="24"/>
              </w:rPr>
            </w:pPr>
            <w:r>
              <w:rPr>
                <w:rFonts w:hint="eastAsia" w:ascii="仿宋" w:hAnsi="仿宋" w:eastAsia="仿宋" w:cs="仿宋"/>
                <w:kern w:val="0"/>
                <w:sz w:val="24"/>
                <w:szCs w:val="24"/>
              </w:rPr>
              <w:t>茶叶、桶装饮用水、饮料、饼干、小食品及酒、果品等。‍</w:t>
            </w:r>
          </w:p>
        </w:tc>
        <w:tc>
          <w:tcPr>
            <w:tcW w:w="1383"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便民、销售</w:t>
            </w:r>
          </w:p>
        </w:tc>
        <w:tc>
          <w:tcPr>
            <w:tcW w:w="1189"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根据需求</w:t>
            </w:r>
          </w:p>
        </w:tc>
        <w:tc>
          <w:tcPr>
            <w:tcW w:w="1159" w:type="dxa"/>
            <w:shd w:val="clear" w:color="auto" w:fill="auto"/>
            <w:noWrap/>
            <w:vAlign w:val="center"/>
          </w:tcPr>
          <w:p>
            <w:pPr>
              <w:pStyle w:val="2"/>
              <w:ind w:left="0" w:leftChars="0"/>
            </w:pPr>
            <w:r>
              <w:rPr>
                <w:rFonts w:hint="eastAsia" w:ascii="仿宋" w:hAnsi="仿宋" w:eastAsia="仿宋" w:cs="仿宋"/>
                <w:sz w:val="24"/>
                <w:szCs w:val="24"/>
              </w:rPr>
              <w:t>A包：1</w:t>
            </w:r>
          </w:p>
        </w:tc>
      </w:tr>
    </w:tbl>
    <w:p>
      <w:pPr>
        <w:numPr>
          <w:ilvl w:val="0"/>
          <w:numId w:val="2"/>
        </w:numPr>
        <w:spacing w:line="460" w:lineRule="exact"/>
        <w:rPr>
          <w:rFonts w:ascii="仿宋" w:hAnsi="仿宋" w:eastAsia="仿宋" w:cs="仿宋"/>
          <w:sz w:val="32"/>
          <w:szCs w:val="32"/>
        </w:rPr>
      </w:pPr>
      <w:r>
        <w:rPr>
          <w:rFonts w:hint="eastAsia" w:ascii="仿宋" w:hAnsi="仿宋" w:eastAsia="仿宋" w:cs="仿宋"/>
          <w:sz w:val="32"/>
          <w:szCs w:val="32"/>
        </w:rPr>
        <w:t>质量与技术要求</w:t>
      </w:r>
    </w:p>
    <w:p>
      <w:pPr>
        <w:spacing w:line="460" w:lineRule="exact"/>
        <w:rPr>
          <w:rFonts w:ascii="仿宋" w:hAnsi="仿宋" w:eastAsia="仿宋" w:cs="仿宋"/>
          <w:sz w:val="32"/>
          <w:szCs w:val="32"/>
        </w:rPr>
      </w:pPr>
      <w:r>
        <w:rPr>
          <w:rFonts w:hint="eastAsia" w:ascii="仿宋" w:hAnsi="仿宋" w:eastAsia="仿宋" w:cs="仿宋"/>
          <w:sz w:val="32"/>
          <w:szCs w:val="32"/>
        </w:rPr>
        <w:t>1、所有产品必须符合国家有关标准；</w:t>
      </w:r>
    </w:p>
    <w:p>
      <w:pPr>
        <w:spacing w:line="460" w:lineRule="exact"/>
        <w:rPr>
          <w:rFonts w:ascii="仿宋" w:hAnsi="仿宋" w:eastAsia="仿宋" w:cs="仿宋"/>
          <w:sz w:val="32"/>
          <w:szCs w:val="32"/>
        </w:rPr>
      </w:pPr>
      <w:r>
        <w:rPr>
          <w:rFonts w:hint="eastAsia" w:ascii="仿宋" w:hAnsi="仿宋" w:eastAsia="仿宋" w:cs="仿宋"/>
          <w:sz w:val="32"/>
          <w:szCs w:val="32"/>
        </w:rPr>
        <w:t>2、各产品必须由正规厂家生产。</w:t>
      </w:r>
    </w:p>
    <w:p>
      <w:pPr>
        <w:spacing w:line="460" w:lineRule="exact"/>
        <w:rPr>
          <w:rFonts w:ascii="仿宋" w:hAnsi="仿宋" w:eastAsia="仿宋" w:cs="仿宋"/>
          <w:sz w:val="32"/>
          <w:szCs w:val="32"/>
        </w:rPr>
      </w:pPr>
      <w:r>
        <w:rPr>
          <w:rFonts w:hint="eastAsia" w:ascii="仿宋" w:hAnsi="仿宋" w:eastAsia="仿宋" w:cs="仿宋"/>
          <w:sz w:val="32"/>
          <w:szCs w:val="32"/>
        </w:rPr>
        <w:t>五、询价供应商资格要求：</w:t>
      </w:r>
    </w:p>
    <w:p>
      <w:pPr>
        <w:spacing w:line="460" w:lineRule="exact"/>
        <w:rPr>
          <w:rFonts w:ascii="仿宋" w:hAnsi="仿宋" w:eastAsia="仿宋" w:cs="仿宋"/>
          <w:sz w:val="32"/>
          <w:szCs w:val="32"/>
        </w:rPr>
      </w:pPr>
      <w:r>
        <w:rPr>
          <w:rFonts w:hint="eastAsia" w:ascii="仿宋" w:hAnsi="仿宋" w:eastAsia="仿宋" w:cs="仿宋"/>
          <w:sz w:val="32"/>
          <w:szCs w:val="32"/>
        </w:rPr>
        <w:t>1.独立承担民事责任和履行合同能力；</w:t>
      </w:r>
    </w:p>
    <w:p>
      <w:pPr>
        <w:spacing w:line="460" w:lineRule="exact"/>
        <w:rPr>
          <w:rFonts w:ascii="仿宋" w:hAnsi="仿宋" w:eastAsia="仿宋" w:cs="仿宋"/>
          <w:sz w:val="32"/>
          <w:szCs w:val="32"/>
        </w:rPr>
      </w:pPr>
      <w:r>
        <w:rPr>
          <w:rFonts w:hint="eastAsia" w:ascii="仿宋" w:hAnsi="仿宋" w:eastAsia="仿宋" w:cs="仿宋"/>
          <w:sz w:val="32"/>
          <w:szCs w:val="32"/>
        </w:rPr>
        <w:t>2.从事该物品的生产或销售，且营业执照中具有相应经营范围</w:t>
      </w:r>
      <w:r>
        <w:rPr>
          <w:rFonts w:hint="eastAsia"/>
        </w:rPr>
        <w:t>，</w:t>
      </w:r>
      <w:r>
        <w:rPr>
          <w:rFonts w:hint="eastAsia" w:ascii="仿宋" w:hAnsi="仿宋" w:eastAsia="仿宋" w:cs="仿宋"/>
          <w:sz w:val="32"/>
          <w:szCs w:val="32"/>
        </w:rPr>
        <w:t>并具有良好的工作业绩和履约记录；</w:t>
      </w:r>
    </w:p>
    <w:p>
      <w:pPr>
        <w:spacing w:line="460" w:lineRule="exact"/>
        <w:rPr>
          <w:rFonts w:ascii="仿宋" w:hAnsi="仿宋" w:eastAsia="仿宋" w:cs="仿宋"/>
          <w:sz w:val="32"/>
          <w:szCs w:val="32"/>
        </w:rPr>
      </w:pPr>
      <w:r>
        <w:rPr>
          <w:rFonts w:hint="eastAsia" w:ascii="仿宋" w:hAnsi="仿宋" w:eastAsia="仿宋" w:cs="仿宋"/>
          <w:sz w:val="32"/>
          <w:szCs w:val="32"/>
        </w:rPr>
        <w:t>3.有较强的专业技术队伍，确保提供快速的售后服务；</w:t>
      </w:r>
    </w:p>
    <w:p>
      <w:pPr>
        <w:spacing w:line="460" w:lineRule="exact"/>
        <w:rPr>
          <w:rFonts w:ascii="仿宋" w:hAnsi="仿宋" w:eastAsia="仿宋" w:cs="仿宋"/>
          <w:color w:val="FF0000"/>
          <w:sz w:val="32"/>
          <w:szCs w:val="32"/>
        </w:rPr>
      </w:pPr>
      <w:r>
        <w:rPr>
          <w:rFonts w:hint="eastAsia" w:ascii="仿宋" w:hAnsi="仿宋" w:eastAsia="仿宋" w:cs="仿宋"/>
          <w:sz w:val="32"/>
          <w:szCs w:val="32"/>
        </w:rPr>
        <w:t>4.不接受联合体投标</w:t>
      </w: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六、其他事项：</w:t>
      </w:r>
    </w:p>
    <w:p>
      <w:pPr>
        <w:spacing w:line="460" w:lineRule="exact"/>
        <w:rPr>
          <w:rFonts w:ascii="仿宋" w:hAnsi="仿宋" w:eastAsia="仿宋" w:cs="仿宋"/>
          <w:sz w:val="32"/>
          <w:szCs w:val="32"/>
        </w:rPr>
      </w:pPr>
      <w:r>
        <w:rPr>
          <w:rFonts w:hint="eastAsia" w:ascii="仿宋" w:hAnsi="仿宋" w:eastAsia="仿宋" w:cs="仿宋"/>
          <w:sz w:val="32"/>
          <w:szCs w:val="32"/>
        </w:rPr>
        <w:t>递交报价单时须提供以下资料</w:t>
      </w:r>
      <w:r>
        <w:rPr>
          <w:rFonts w:hint="eastAsia" w:ascii="仿宋" w:hAnsi="仿宋" w:eastAsia="仿宋" w:cs="仿宋"/>
          <w:b/>
          <w:bCs/>
          <w:sz w:val="32"/>
          <w:szCs w:val="32"/>
        </w:rPr>
        <w:t>（复印件需加盖单位公章）：</w:t>
      </w:r>
    </w:p>
    <w:p>
      <w:pPr>
        <w:spacing w:line="460" w:lineRule="exac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b/>
          <w:bCs/>
          <w:sz w:val="32"/>
          <w:szCs w:val="32"/>
        </w:rPr>
        <w:t>有效的营业执照副本、银行基本账户等材料复印件。</w:t>
      </w:r>
    </w:p>
    <w:p>
      <w:pPr>
        <w:spacing w:line="460" w:lineRule="exact"/>
        <w:rPr>
          <w:rFonts w:ascii="仿宋" w:hAnsi="仿宋" w:eastAsia="仿宋" w:cs="仿宋"/>
          <w:sz w:val="32"/>
          <w:szCs w:val="32"/>
        </w:rPr>
      </w:pPr>
      <w:r>
        <w:rPr>
          <w:rFonts w:hint="eastAsia" w:ascii="仿宋" w:hAnsi="仿宋" w:eastAsia="仿宋" w:cs="仿宋"/>
          <w:sz w:val="32"/>
          <w:szCs w:val="32"/>
        </w:rPr>
        <w:t>2.报价单需写明对采购单位提出的供货要求作出的相关承诺，并加盖供货单位公章。</w:t>
      </w:r>
    </w:p>
    <w:p>
      <w:pPr>
        <w:spacing w:line="460" w:lineRule="exact"/>
        <w:rPr>
          <w:rFonts w:ascii="仿宋" w:hAnsi="仿宋" w:eastAsia="仿宋" w:cs="仿宋"/>
          <w:sz w:val="32"/>
          <w:szCs w:val="32"/>
        </w:rPr>
      </w:pPr>
      <w:r>
        <w:rPr>
          <w:rFonts w:hint="eastAsia" w:ascii="仿宋" w:hAnsi="仿宋" w:eastAsia="仿宋" w:cs="仿宋"/>
          <w:sz w:val="32"/>
          <w:szCs w:val="32"/>
        </w:rPr>
        <w:t>3.物品报价文件格式（报价应包括产品的运费及税费等一切费用）；</w:t>
      </w:r>
    </w:p>
    <w:p>
      <w:pPr>
        <w:spacing w:line="460" w:lineRule="exact"/>
        <w:rPr>
          <w:rFonts w:ascii="仿宋" w:hAnsi="仿宋" w:eastAsia="仿宋" w:cs="仿宋"/>
          <w:sz w:val="32"/>
          <w:szCs w:val="32"/>
        </w:rPr>
      </w:pPr>
      <w:bookmarkStart w:id="0" w:name="_Toc12544"/>
      <w:bookmarkEnd w:id="0"/>
      <w:r>
        <w:rPr>
          <w:rFonts w:hint="eastAsia" w:ascii="仿宋" w:hAnsi="仿宋" w:eastAsia="仿宋" w:cs="仿宋"/>
          <w:sz w:val="32"/>
          <w:szCs w:val="32"/>
        </w:rPr>
        <w:t>七、报价投递方式及时间：</w:t>
      </w:r>
    </w:p>
    <w:p>
      <w:pPr>
        <w:spacing w:line="460" w:lineRule="exact"/>
        <w:rPr>
          <w:rFonts w:ascii="仿宋" w:hAnsi="仿宋" w:eastAsia="仿宋" w:cs="仿宋"/>
          <w:sz w:val="32"/>
          <w:szCs w:val="32"/>
        </w:rPr>
      </w:pPr>
      <w:r>
        <w:rPr>
          <w:rFonts w:hint="eastAsia" w:ascii="仿宋" w:hAnsi="仿宋" w:eastAsia="仿宋" w:cs="仿宋"/>
          <w:sz w:val="32"/>
          <w:szCs w:val="32"/>
        </w:rPr>
        <w:t>（一）截止时间：2019年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日(下午14:30时止)。</w:t>
      </w:r>
    </w:p>
    <w:p>
      <w:pPr>
        <w:spacing w:line="460" w:lineRule="exact"/>
        <w:rPr>
          <w:rFonts w:ascii="仿宋" w:hAnsi="仿宋" w:eastAsia="仿宋" w:cs="仿宋"/>
          <w:sz w:val="32"/>
          <w:szCs w:val="32"/>
        </w:rPr>
      </w:pPr>
      <w:r>
        <w:rPr>
          <w:rFonts w:hint="eastAsia" w:ascii="仿宋" w:hAnsi="仿宋" w:eastAsia="仿宋" w:cs="仿宋"/>
          <w:sz w:val="32"/>
          <w:szCs w:val="32"/>
        </w:rPr>
        <w:t>（二）现场报价或邮寄报价：</w:t>
      </w:r>
    </w:p>
    <w:p>
      <w:pPr>
        <w:spacing w:line="460" w:lineRule="exact"/>
        <w:ind w:firstLine="560"/>
        <w:rPr>
          <w:rFonts w:ascii="仿宋" w:hAnsi="仿宋" w:eastAsia="仿宋" w:cs="仿宋"/>
          <w:b/>
          <w:bCs/>
          <w:sz w:val="32"/>
          <w:szCs w:val="32"/>
        </w:rPr>
      </w:pPr>
      <w:r>
        <w:rPr>
          <w:rFonts w:hint="eastAsia" w:ascii="仿宋" w:hAnsi="仿宋" w:eastAsia="仿宋" w:cs="仿宋"/>
          <w:sz w:val="32"/>
          <w:szCs w:val="32"/>
        </w:rPr>
        <w:t>请各参与供货商于规定时间内，将</w:t>
      </w:r>
      <w:r>
        <w:rPr>
          <w:rFonts w:hint="eastAsia" w:ascii="仿宋" w:hAnsi="仿宋" w:eastAsia="仿宋" w:cs="仿宋"/>
          <w:b/>
          <w:bCs/>
          <w:sz w:val="32"/>
          <w:szCs w:val="32"/>
        </w:rPr>
        <w:t>营业执照副本、银行基本账户等材料复印件和物品报价文件(在文件封面上写明项目、联系电话、联系人并加盖公章并密封)</w:t>
      </w:r>
      <w:r>
        <w:rPr>
          <w:rFonts w:hint="eastAsia" w:ascii="仿宋" w:hAnsi="仿宋" w:eastAsia="仿宋" w:cs="仿宋"/>
          <w:sz w:val="32"/>
          <w:szCs w:val="32"/>
        </w:rPr>
        <w:t>在襄阳市殡仪馆办公楼一楼会议室递交文件</w:t>
      </w:r>
    </w:p>
    <w:p>
      <w:pPr>
        <w:spacing w:line="460" w:lineRule="exact"/>
        <w:ind w:firstLine="320" w:firstLineChars="100"/>
        <w:rPr>
          <w:rFonts w:ascii="仿宋" w:hAnsi="仿宋" w:eastAsia="仿宋" w:cs="仿宋"/>
          <w:sz w:val="32"/>
          <w:szCs w:val="32"/>
        </w:rPr>
      </w:pPr>
      <w:r>
        <w:rPr>
          <w:rFonts w:hint="eastAsia" w:ascii="仿宋" w:hAnsi="仿宋" w:eastAsia="仿宋" w:cs="仿宋"/>
          <w:sz w:val="32"/>
          <w:szCs w:val="32"/>
        </w:rPr>
        <w:t>（1）本地供应商：询价当天</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日下午14:30时请将需求文件连同样品送达襄阳市殡仪馆</w:t>
      </w:r>
    </w:p>
    <w:p>
      <w:pPr>
        <w:spacing w:line="460" w:lineRule="exact"/>
        <w:ind w:firstLine="320" w:firstLineChars="100"/>
        <w:rPr>
          <w:rFonts w:ascii="仿宋" w:hAnsi="仿宋" w:eastAsia="仿宋" w:cs="仿宋"/>
          <w:sz w:val="32"/>
          <w:szCs w:val="32"/>
        </w:rPr>
      </w:pPr>
      <w:r>
        <w:rPr>
          <w:rFonts w:hint="eastAsia" w:ascii="仿宋" w:hAnsi="仿宋" w:eastAsia="仿宋" w:cs="仿宋"/>
          <w:sz w:val="32"/>
          <w:szCs w:val="32"/>
        </w:rPr>
        <w:t>（2）不接受非本地供应商。</w:t>
      </w:r>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八、询价采购评比方法：</w:t>
      </w:r>
    </w:p>
    <w:p>
      <w:pPr>
        <w:spacing w:line="460" w:lineRule="exact"/>
        <w:ind w:firstLine="688" w:firstLineChars="200"/>
        <w:rPr>
          <w:rFonts w:ascii="仿宋" w:hAnsi="仿宋" w:eastAsia="仿宋" w:cs="仿宋"/>
          <w:spacing w:val="12"/>
          <w:sz w:val="32"/>
          <w:szCs w:val="32"/>
        </w:rPr>
      </w:pPr>
      <w:r>
        <w:rPr>
          <w:rFonts w:hint="eastAsia" w:ascii="仿宋" w:hAnsi="仿宋" w:eastAsia="仿宋" w:cs="仿宋"/>
          <w:spacing w:val="12"/>
          <w:sz w:val="32"/>
          <w:szCs w:val="32"/>
        </w:rPr>
        <w:t>我单位评比小组将本着公平、公正、公开原则，对各供货商报价、产品质量、服务、交货期、信誉及其它各方面因素综合评定：</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报价文件符合要求</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报价合理，对采购者有利</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供货商具有履约能力</w:t>
      </w:r>
    </w:p>
    <w:p>
      <w:pPr>
        <w:numPr>
          <w:ilvl w:val="0"/>
          <w:numId w:val="3"/>
        </w:numPr>
        <w:spacing w:line="460" w:lineRule="exact"/>
        <w:rPr>
          <w:rFonts w:hint="eastAsia" w:ascii="仿宋" w:hAnsi="仿宋" w:eastAsia="仿宋" w:cs="仿宋"/>
          <w:spacing w:val="12"/>
          <w:sz w:val="32"/>
          <w:szCs w:val="32"/>
        </w:rPr>
      </w:pPr>
      <w:r>
        <w:rPr>
          <w:rFonts w:hint="eastAsia" w:ascii="仿宋" w:hAnsi="仿宋" w:eastAsia="仿宋" w:cs="仿宋"/>
          <w:spacing w:val="12"/>
          <w:sz w:val="32"/>
          <w:szCs w:val="32"/>
        </w:rPr>
        <w:t>能够提供最佳服务，保证质量</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对于供应商报价高于同期媒体公布价格的，评定小组有权作废标处理</w:t>
      </w:r>
    </w:p>
    <w:p>
      <w:pPr>
        <w:numPr>
          <w:ilvl w:val="0"/>
          <w:numId w:val="3"/>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提供的同等产品取报价最低者，同等价格取报价物品质量好的。</w:t>
      </w:r>
      <w:bookmarkStart w:id="1" w:name="_Toc238552260"/>
      <w:bookmarkStart w:id="2" w:name="_Toc22303"/>
      <w:bookmarkStart w:id="3" w:name="_Toc243475830"/>
      <w:bookmarkStart w:id="4" w:name="_Toc238797615"/>
      <w:bookmarkStart w:id="5" w:name="_Toc179632627"/>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九、说明</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报价文件一律不退，请投标商自留底稿</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经我馆研究确定成交（中标）供货商后并通知，对其他未中标供货商不予通知</w:t>
      </w:r>
    </w:p>
    <w:p>
      <w:pPr>
        <w:numPr>
          <w:ilvl w:val="0"/>
          <w:numId w:val="4"/>
        </w:numPr>
        <w:spacing w:line="460" w:lineRule="exact"/>
        <w:rPr>
          <w:rFonts w:hint="eastAsia" w:ascii="仿宋" w:hAnsi="仿宋" w:eastAsia="仿宋" w:cs="仿宋"/>
          <w:spacing w:val="12"/>
          <w:sz w:val="32"/>
          <w:szCs w:val="32"/>
        </w:rPr>
      </w:pPr>
      <w:r>
        <w:rPr>
          <w:rFonts w:hint="eastAsia" w:ascii="仿宋" w:hAnsi="仿宋" w:eastAsia="仿宋" w:cs="仿宋"/>
          <w:spacing w:val="12"/>
          <w:sz w:val="32"/>
          <w:szCs w:val="32"/>
        </w:rPr>
        <w:t>接到中标通知后须在十五个工作日内前来我馆签订合同，如发生中标供货商未按规定时间签订合同的，我馆将视其放弃，并有权决定第二个中标供货商或重新组织采购</w:t>
      </w:r>
    </w:p>
    <w:p>
      <w:pPr>
        <w:pStyle w:val="2"/>
        <w:ind w:left="0" w:leftChars="0"/>
      </w:pPr>
      <w:r>
        <w:rPr>
          <w:rFonts w:hint="eastAsia" w:ascii="仿宋" w:hAnsi="仿宋" w:eastAsia="仿宋" w:cs="仿宋"/>
          <w:sz w:val="32"/>
          <w:szCs w:val="32"/>
        </w:rPr>
        <w:t>4、本公告同时在襄阳市殡仪馆官网上发表。</w:t>
      </w:r>
    </w:p>
    <w:p>
      <w:pPr>
        <w:pStyle w:val="4"/>
        <w:spacing w:line="460" w:lineRule="exact"/>
        <w:rPr>
          <w:rFonts w:ascii="仿宋" w:hAnsi="仿宋" w:eastAsia="仿宋" w:cs="仿宋"/>
          <w:b w:val="0"/>
          <w:bCs w:val="0"/>
        </w:rPr>
      </w:pPr>
      <w:r>
        <w:rPr>
          <w:rFonts w:hint="eastAsia" w:ascii="仿宋" w:hAnsi="仿宋" w:eastAsia="仿宋" w:cs="仿宋"/>
          <w:b w:val="0"/>
          <w:bCs w:val="0"/>
        </w:rPr>
        <w:t>十、合同条款（见附件一）</w:t>
      </w: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 xml:space="preserve">                                      襄阳市殡仪馆</w:t>
      </w:r>
    </w:p>
    <w:p>
      <w:pPr>
        <w:spacing w:line="460" w:lineRule="exact"/>
        <w:rPr>
          <w:rFonts w:ascii="仿宋" w:hAnsi="仿宋" w:eastAsia="仿宋" w:cs="仿宋"/>
          <w:sz w:val="32"/>
          <w:szCs w:val="32"/>
        </w:rPr>
      </w:pPr>
      <w:r>
        <w:rPr>
          <w:rFonts w:hint="eastAsia" w:ascii="仿宋" w:hAnsi="仿宋" w:eastAsia="仿宋" w:cs="仿宋"/>
          <w:sz w:val="32"/>
          <w:szCs w:val="32"/>
        </w:rPr>
        <w:t xml:space="preserve">                                     2019年9月</w:t>
      </w:r>
      <w:r>
        <w:rPr>
          <w:rFonts w:hint="eastAsia" w:ascii="仿宋" w:hAnsi="仿宋" w:eastAsia="仿宋" w:cs="仿宋"/>
          <w:sz w:val="32"/>
          <w:szCs w:val="32"/>
          <w:lang w:val="en-US" w:eastAsia="zh-CN"/>
        </w:rPr>
        <w:t>27</w:t>
      </w:r>
      <w:bookmarkStart w:id="12" w:name="_GoBack"/>
      <w:bookmarkEnd w:id="12"/>
      <w:r>
        <w:rPr>
          <w:rFonts w:hint="eastAsia" w:ascii="仿宋" w:hAnsi="仿宋" w:eastAsia="仿宋" w:cs="仿宋"/>
          <w:sz w:val="32"/>
          <w:szCs w:val="32"/>
        </w:rPr>
        <w:t>日</w:t>
      </w:r>
    </w:p>
    <w:p>
      <w:pPr>
        <w:spacing w:line="460" w:lineRule="exact"/>
      </w:pPr>
    </w:p>
    <w:p>
      <w:pPr>
        <w:spacing w:line="460" w:lineRule="exact"/>
      </w:pPr>
    </w:p>
    <w:p/>
    <w:p/>
    <w:p/>
    <w:p/>
    <w:p>
      <w:pPr>
        <w:pStyle w:val="4"/>
        <w:rPr>
          <w:rFonts w:ascii="黑体" w:hAnsi="仿宋_GB2312"/>
          <w:b w:val="0"/>
        </w:rPr>
      </w:pPr>
      <w:r>
        <w:rPr>
          <w:rFonts w:hint="eastAsia" w:ascii="黑体" w:hAnsi="仿宋_GB2312"/>
          <w:b w:val="0"/>
        </w:rPr>
        <w:t xml:space="preserve">附件一：  </w:t>
      </w:r>
    </w:p>
    <w:p>
      <w:pPr>
        <w:pStyle w:val="4"/>
        <w:jc w:val="center"/>
        <w:rPr>
          <w:rFonts w:ascii="黑体" w:hAnsi="仿宋_GB2312"/>
          <w:b w:val="0"/>
        </w:rPr>
      </w:pPr>
      <w:r>
        <w:rPr>
          <w:rFonts w:hint="eastAsia" w:ascii="黑体" w:hAnsi="仿宋_GB2312"/>
          <w:b w:val="0"/>
        </w:rPr>
        <w:t>合同条款及格式</w:t>
      </w:r>
      <w:bookmarkEnd w:id="1"/>
      <w:bookmarkEnd w:id="2"/>
      <w:bookmarkEnd w:id="3"/>
      <w:bookmarkEnd w:id="4"/>
      <w:bookmarkEnd w:id="5"/>
    </w:p>
    <w:p>
      <w:pPr>
        <w:pStyle w:val="7"/>
        <w:widowControl/>
        <w:numPr>
          <w:ilvl w:val="0"/>
          <w:numId w:val="5"/>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资格准入询价结束后，采购产品的最终款式由襄阳市殡仪馆与中标单位洽谈商定。不保证向每个中标人的最低采购量或最低采购金额。</w:t>
      </w:r>
    </w:p>
    <w:p>
      <w:pPr>
        <w:pStyle w:val="7"/>
        <w:widowControl/>
        <w:numPr>
          <w:ilvl w:val="0"/>
          <w:numId w:val="5"/>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入围单位在招投标结束后至合同签订前提出附加条件或不合理要求，其资格将被取消，产生的后果自负。</w:t>
      </w:r>
    </w:p>
    <w:p>
      <w:pPr>
        <w:pStyle w:val="7"/>
        <w:widowControl/>
        <w:numPr>
          <w:ilvl w:val="0"/>
          <w:numId w:val="5"/>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因货物滞销造成的材质裂缝或运输搬运造成的非人为因素损害由供应商负责调换。</w:t>
      </w:r>
    </w:p>
    <w:p>
      <w:pPr>
        <w:pStyle w:val="7"/>
        <w:widowControl/>
        <w:numPr>
          <w:ilvl w:val="0"/>
          <w:numId w:val="5"/>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产品若出现质量问题，襄阳市殡仪馆有权要求供应商进行同比调换。供应商应保证及时更换或更新。</w:t>
      </w:r>
    </w:p>
    <w:p>
      <w:pPr>
        <w:pStyle w:val="7"/>
        <w:widowControl/>
        <w:numPr>
          <w:ilvl w:val="0"/>
          <w:numId w:val="5"/>
        </w:numPr>
        <w:spacing w:before="0" w:beforeAutospacing="0" w:after="136" w:afterAutospacing="0" w:line="360" w:lineRule="auto"/>
        <w:rPr>
          <w:sz w:val="32"/>
          <w:szCs w:val="32"/>
        </w:rPr>
      </w:pPr>
      <w:r>
        <w:rPr>
          <w:rFonts w:hint="eastAsia" w:ascii="仿宋" w:hAnsi="仿宋" w:eastAsia="仿宋" w:cs="仿宋"/>
          <w:color w:val="000000"/>
          <w:sz w:val="32"/>
          <w:szCs w:val="32"/>
          <w:u w:val="single"/>
        </w:rPr>
        <w:t>供应商需按襄阳市殡仪馆销售或购货需求进行供货</w:t>
      </w:r>
    </w:p>
    <w:p>
      <w:pPr>
        <w:pStyle w:val="7"/>
        <w:widowControl/>
        <w:numPr>
          <w:ilvl w:val="0"/>
          <w:numId w:val="5"/>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供货品种、数量及总价最终结算以实际货物单价为准</w:t>
      </w:r>
    </w:p>
    <w:p>
      <w:pPr>
        <w:spacing w:after="120"/>
        <w:rPr>
          <w:rFonts w:ascii="仿宋" w:hAnsi="仿宋" w:eastAsia="仿宋" w:cs="仿宋"/>
          <w:sz w:val="32"/>
          <w:szCs w:val="32"/>
          <w:u w:val="single"/>
        </w:rPr>
      </w:pPr>
      <w:r>
        <w:rPr>
          <w:rFonts w:hint="eastAsia" w:ascii="仿宋" w:hAnsi="仿宋" w:eastAsia="仿宋" w:cs="仿宋"/>
          <w:kern w:val="0"/>
          <w:sz w:val="32"/>
          <w:szCs w:val="32"/>
        </w:rPr>
        <w:t>（七）</w:t>
      </w:r>
      <w:r>
        <w:rPr>
          <w:rFonts w:hint="eastAsia" w:ascii="仿宋" w:hAnsi="仿宋" w:eastAsia="仿宋" w:cs="仿宋"/>
          <w:kern w:val="0"/>
          <w:sz w:val="32"/>
          <w:szCs w:val="32"/>
          <w:u w:val="single"/>
        </w:rPr>
        <w:t>一年内供货产品单价不得发生变化（如遇</w:t>
      </w:r>
      <w:r>
        <w:rPr>
          <w:rFonts w:hint="eastAsia" w:ascii="仿宋" w:hAnsi="仿宋" w:eastAsia="仿宋" w:cs="仿宋"/>
          <w:sz w:val="32"/>
          <w:szCs w:val="32"/>
          <w:u w:val="single"/>
        </w:rPr>
        <w:t>产品成本、材料价格变化较大时，双方可协商对供货价格进行相应调整，并签订补充协议</w:t>
      </w:r>
      <w:r>
        <w:rPr>
          <w:rFonts w:hint="eastAsia" w:ascii="仿宋" w:hAnsi="仿宋" w:eastAsia="仿宋" w:cs="仿宋"/>
          <w:kern w:val="0"/>
          <w:sz w:val="32"/>
          <w:szCs w:val="32"/>
          <w:u w:val="single"/>
        </w:rPr>
        <w:t>）</w:t>
      </w:r>
    </w:p>
    <w:p>
      <w:pPr>
        <w:spacing w:after="120"/>
        <w:ind w:firstLine="420" w:firstLineChars="200"/>
      </w:pPr>
    </w:p>
    <w:p>
      <w:pPr>
        <w:pStyle w:val="11"/>
        <w:rPr>
          <w:rFonts w:ascii="黑体" w:hAnsi="宋体"/>
          <w:szCs w:val="28"/>
        </w:rPr>
      </w:pPr>
      <w:bookmarkStart w:id="6" w:name="_Toc243475867"/>
      <w:bookmarkStart w:id="7" w:name="_Toc238797651"/>
      <w:bookmarkStart w:id="8" w:name="_Toc1047"/>
      <w:bookmarkStart w:id="9" w:name="_Toc238552290"/>
    </w:p>
    <w:p/>
    <w:p/>
    <w:p/>
    <w:p/>
    <w:p/>
    <w:p>
      <w:pPr>
        <w:pStyle w:val="11"/>
        <w:rPr>
          <w:rFonts w:ascii="黑体"/>
        </w:rPr>
      </w:pPr>
      <w:r>
        <w:rPr>
          <w:rFonts w:hint="eastAsia" w:ascii="黑体" w:hAnsi="宋体"/>
          <w:szCs w:val="28"/>
        </w:rPr>
        <w:t>附件二：</w:t>
      </w:r>
      <w:r>
        <w:rPr>
          <w:rFonts w:hint="eastAsia" w:ascii="黑体" w:hAnsi="宋体"/>
        </w:rPr>
        <w:t>合同协议书</w:t>
      </w:r>
      <w:bookmarkEnd w:id="6"/>
      <w:bookmarkEnd w:id="7"/>
      <w:bookmarkEnd w:id="8"/>
      <w:bookmarkStart w:id="10" w:name="_Toc238797652"/>
    </w:p>
    <w:p>
      <w:pPr>
        <w:pStyle w:val="12"/>
        <w:spacing w:beforeLines="50" w:afterLines="50" w:line="420" w:lineRule="exact"/>
        <w:ind w:firstLine="424"/>
        <w:jc w:val="center"/>
        <w:outlineLvl w:val="9"/>
        <w:rPr>
          <w:sz w:val="28"/>
          <w:szCs w:val="28"/>
        </w:rPr>
      </w:pPr>
      <w:bookmarkStart w:id="11" w:name="_Toc32329"/>
      <w:r>
        <w:rPr>
          <w:rFonts w:hint="eastAsia" w:ascii="黑体" w:eastAsia="黑体"/>
          <w:b w:val="0"/>
          <w:bCs w:val="0"/>
          <w:color w:val="auto"/>
          <w:kern w:val="2"/>
          <w:sz w:val="28"/>
        </w:rPr>
        <w:t>合同协议书</w:t>
      </w:r>
      <w:bookmarkEnd w:id="9"/>
      <w:bookmarkEnd w:id="10"/>
      <w:bookmarkEnd w:id="11"/>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（买方名称，以下简称“买方”）为获得</w:t>
      </w:r>
      <w:r>
        <w:rPr>
          <w:rFonts w:hint="eastAsia" w:ascii="仿宋" w:hAnsi="仿宋" w:eastAsia="仿宋" w:cs="仿宋"/>
          <w:sz w:val="28"/>
          <w:szCs w:val="28"/>
          <w:u w:val="single"/>
        </w:rPr>
        <w:t xml:space="preserve">　      </w:t>
      </w:r>
      <w:r>
        <w:rPr>
          <w:rFonts w:hint="eastAsia" w:ascii="仿宋" w:hAnsi="仿宋" w:eastAsia="仿宋" w:cs="仿宋"/>
          <w:sz w:val="28"/>
          <w:szCs w:val="28"/>
        </w:rPr>
        <w:t>（项目名称）（货物名称及标包号）货物及服务，已接受（卖方名称，以下简称“卖方”）对上述货物及服务的投标。</w:t>
      </w:r>
    </w:p>
    <w:p>
      <w:pPr>
        <w:adjustRightInd w:val="0"/>
        <w:snapToGrid w:val="0"/>
        <w:spacing w:line="400" w:lineRule="exact"/>
        <w:rPr>
          <w:rFonts w:ascii="仿宋" w:hAnsi="仿宋" w:eastAsia="仿宋" w:cs="仿宋"/>
          <w:sz w:val="28"/>
          <w:szCs w:val="28"/>
        </w:rPr>
      </w:pPr>
      <w:r>
        <w:rPr>
          <w:rFonts w:hint="eastAsia" w:ascii="仿宋" w:hAnsi="仿宋" w:eastAsia="仿宋" w:cs="仿宋"/>
          <w:sz w:val="28"/>
          <w:szCs w:val="28"/>
        </w:rPr>
        <w:t>买卖双方共同达成如下协议。</w:t>
      </w:r>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1．本合同协议书与下列文件一起构成合同文件：</w:t>
      </w:r>
    </w:p>
    <w:p>
      <w:pPr>
        <w:pStyle w:val="6"/>
        <w:adjustRightInd w:val="0"/>
        <w:snapToGrid w:val="0"/>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（1）成交（中标）通知书；</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（2）报价一览表；</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（3）合同条款；</w:t>
      </w:r>
    </w:p>
    <w:p>
      <w:pPr>
        <w:pStyle w:val="6"/>
        <w:tabs>
          <w:tab w:val="right" w:pos="8306"/>
        </w:tabs>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 xml:space="preserve">（4）货物需求一览表； </w:t>
      </w:r>
      <w:r>
        <w:rPr>
          <w:rFonts w:hint="eastAsia" w:ascii="仿宋" w:hAnsi="仿宋" w:eastAsia="仿宋" w:cs="仿宋"/>
          <w:sz w:val="28"/>
          <w:szCs w:val="28"/>
        </w:rPr>
        <w:tab/>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（5）其他合同文件。</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2．上述文件应相互补充和相互解释，在不明确或矛盾时，应按以上顺序在先者为准。</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3．本合同供应期限为：一年。</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4．卖方承诺按合同约定向买方提供符合合同要求的货物及服务，买方承诺按合同约定支付价款。</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5．本合同正本一式份，买卖双方各执 份，具有同等法律效力；副本份，买方执份，卖方执份。</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6．合同未尽事宜，双方另行签订补充协议。补充协议是合同的组成部分。</w:t>
      </w:r>
    </w:p>
    <w:p>
      <w:pPr>
        <w:pStyle w:val="6"/>
        <w:adjustRightInd w:val="0"/>
        <w:snapToGrid w:val="0"/>
        <w:spacing w:line="420" w:lineRule="exact"/>
        <w:ind w:firstLine="420"/>
        <w:rPr>
          <w:rFonts w:ascii="仿宋" w:hAnsi="仿宋" w:eastAsia="仿宋" w:cs="仿宋"/>
          <w:sz w:val="28"/>
          <w:szCs w:val="28"/>
        </w:rPr>
      </w:pP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 xml:space="preserve">买方：（盖单位章）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卖方：（盖单位章）</w:t>
      </w:r>
    </w:p>
    <w:p>
      <w:pPr>
        <w:pStyle w:val="6"/>
        <w:adjustRightInd w:val="0"/>
        <w:snapToGrid w:val="0"/>
        <w:spacing w:line="400" w:lineRule="exact"/>
        <w:ind w:firstLine="420"/>
        <w:rPr>
          <w:rFonts w:ascii="仿宋" w:hAnsi="仿宋" w:eastAsia="仿宋" w:cs="仿宋"/>
          <w:sz w:val="28"/>
          <w:szCs w:val="28"/>
          <w:u w:val="single"/>
        </w:rPr>
      </w:pPr>
      <w:r>
        <w:rPr>
          <w:rFonts w:hint="eastAsia" w:ascii="仿宋" w:hAnsi="仿宋" w:eastAsia="仿宋" w:cs="仿宋"/>
          <w:sz w:val="28"/>
          <w:szCs w:val="28"/>
        </w:rPr>
        <w:t xml:space="preserve">代表人签字：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代表人签字：</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地址：</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邮编：</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信用代码：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信用代码：</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开户银行名称：</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开户银行名称：</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银行账号：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银行账号：</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联系人：</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电话：</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电话：</w:t>
      </w:r>
    </w:p>
    <w:p>
      <w:pPr>
        <w:adjustRightInd w:val="0"/>
        <w:snapToGrid w:val="0"/>
        <w:spacing w:line="400" w:lineRule="exact"/>
        <w:ind w:right="420" w:firstLine="198" w:firstLineChars="71"/>
        <w:jc w:val="center"/>
        <w:rPr>
          <w:rFonts w:ascii="仿宋" w:hAnsi="仿宋" w:eastAsia="仿宋" w:cs="仿宋"/>
          <w:sz w:val="28"/>
          <w:szCs w:val="28"/>
        </w:rPr>
      </w:pPr>
    </w:p>
    <w:p>
      <w:pPr>
        <w:adjustRightInd w:val="0"/>
        <w:snapToGrid w:val="0"/>
        <w:spacing w:line="400" w:lineRule="exact"/>
        <w:ind w:right="420" w:firstLine="198" w:firstLineChars="71"/>
        <w:jc w:val="right"/>
        <w:rPr>
          <w:rFonts w:ascii="仿宋" w:hAnsi="仿宋" w:eastAsia="仿宋" w:cs="仿宋"/>
          <w:sz w:val="28"/>
          <w:szCs w:val="28"/>
        </w:rPr>
      </w:pPr>
      <w:r>
        <w:rPr>
          <w:rFonts w:hint="eastAsia" w:ascii="仿宋" w:hAnsi="仿宋" w:eastAsia="仿宋" w:cs="仿宋"/>
          <w:sz w:val="28"/>
          <w:szCs w:val="28"/>
        </w:rPr>
        <w:t xml:space="preserve"> 日期：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p>
      <w:pPr>
        <w:rPr>
          <w:rFonts w:ascii="黑体" w:hAnsi="黑体" w:eastAsia="黑体" w:cs="黑体"/>
          <w:sz w:val="32"/>
          <w:szCs w:val="32"/>
        </w:rPr>
      </w:pPr>
      <w:r>
        <w:rPr>
          <w:rFonts w:hint="eastAsia" w:ascii="黑体" w:hAnsi="黑体" w:eastAsia="黑体" w:cs="黑体"/>
          <w:sz w:val="32"/>
          <w:szCs w:val="32"/>
        </w:rPr>
        <w:t>附件三：</w:t>
      </w:r>
    </w:p>
    <w:p>
      <w:pPr>
        <w:jc w:val="center"/>
        <w:rPr>
          <w:rFonts w:ascii="黑体" w:hAnsi="黑体" w:eastAsia="黑体" w:cs="黑体"/>
          <w:sz w:val="44"/>
          <w:szCs w:val="44"/>
        </w:rPr>
      </w:pPr>
      <w:r>
        <w:rPr>
          <w:rFonts w:hint="eastAsia" w:ascii="黑体" w:hAnsi="黑体" w:eastAsia="黑体" w:cs="黑体"/>
          <w:sz w:val="44"/>
          <w:szCs w:val="44"/>
        </w:rPr>
        <w:t>A包物品报价一览表</w:t>
      </w:r>
    </w:p>
    <w:p>
      <w:pPr>
        <w:pStyle w:val="2"/>
        <w:jc w:val="center"/>
        <w:rPr>
          <w:rFonts w:ascii="黑体" w:hAnsi="黑体" w:eastAsia="黑体" w:cs="黑体"/>
          <w:sz w:val="32"/>
          <w:szCs w:val="32"/>
        </w:rPr>
      </w:pPr>
      <w:r>
        <w:rPr>
          <w:rFonts w:hint="eastAsia" w:ascii="黑体" w:hAnsi="黑体" w:eastAsia="黑体" w:cs="黑体"/>
          <w:sz w:val="32"/>
          <w:szCs w:val="32"/>
        </w:rPr>
        <w:t>(不限于以下物品)</w:t>
      </w:r>
    </w:p>
    <w:tbl>
      <w:tblPr>
        <w:tblStyle w:val="9"/>
        <w:tblpPr w:leftFromText="180" w:rightFromText="180" w:vertAnchor="text" w:horzAnchor="page" w:tblpXSpec="center" w:tblpY="354"/>
        <w:tblOverlap w:val="never"/>
        <w:tblW w:w="9146" w:type="dxa"/>
        <w:jc w:val="center"/>
        <w:tblInd w:w="-4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395"/>
        <w:gridCol w:w="1650"/>
        <w:gridCol w:w="1380"/>
        <w:gridCol w:w="780"/>
        <w:gridCol w:w="1110"/>
        <w:gridCol w:w="1125"/>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95" w:type="dxa"/>
            <w:noWrap/>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单位</w:t>
            </w:r>
          </w:p>
        </w:tc>
        <w:tc>
          <w:tcPr>
            <w:tcW w:w="1110" w:type="dxa"/>
            <w:noWrap/>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125" w:type="dxa"/>
            <w:noWrap/>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35" w:type="dxa"/>
            <w:noWrap/>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茶叶</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绿茶</w:t>
            </w: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２５０ｇ</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包</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桶面</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康师傅</w:t>
            </w: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tabs>
                <w:tab w:val="left" w:pos="522"/>
              </w:tabs>
              <w:spacing w:line="360" w:lineRule="auto"/>
              <w:jc w:val="center"/>
              <w:rPr>
                <w:rFonts w:ascii="仿宋" w:hAnsi="仿宋" w:eastAsia="仿宋" w:cs="仿宋"/>
                <w:sz w:val="28"/>
                <w:szCs w:val="28"/>
              </w:rPr>
            </w:pPr>
            <w:r>
              <w:rPr>
                <w:rFonts w:hint="eastAsia" w:ascii="仿宋" w:hAnsi="仿宋" w:eastAsia="仿宋" w:cs="仿宋"/>
                <w:sz w:val="28"/>
                <w:szCs w:val="28"/>
              </w:rPr>
              <w:t>桶面</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统一</w:t>
            </w: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可乐</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６００ML</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脉动</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600ML</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咖啡</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蓝岸</w:t>
            </w: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25g</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石化三品</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rPr>
                <w:rFonts w:ascii="仿宋" w:hAnsi="仿宋" w:eastAsia="仿宋" w:cs="仿宋"/>
                <w:sz w:val="28"/>
                <w:szCs w:val="28"/>
              </w:rPr>
            </w:pPr>
            <w:r>
              <w:rPr>
                <w:rFonts w:hint="eastAsia" w:ascii="仿宋" w:hAnsi="仿宋" w:eastAsia="仿宋" w:cs="仿宋"/>
                <w:szCs w:val="21"/>
              </w:rPr>
              <w:t>古隆中12年</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健力宝</w:t>
            </w:r>
          </w:p>
        </w:tc>
        <w:tc>
          <w:tcPr>
            <w:tcW w:w="1650" w:type="dxa"/>
            <w:noWrap/>
          </w:tcPr>
          <w:p>
            <w:pPr>
              <w:jc w:val="center"/>
              <w:rPr>
                <w:rFonts w:ascii="仿宋" w:hAnsi="仿宋" w:eastAsia="仿宋" w:cs="仿宋"/>
                <w:sz w:val="28"/>
                <w:szCs w:val="28"/>
              </w:rPr>
            </w:pP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560ML</w:t>
            </w: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瓶</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奶茶</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优乐美</w:t>
            </w: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杯</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871" w:type="dxa"/>
            <w:noWrap/>
          </w:tcPr>
          <w:p>
            <w:pPr>
              <w:jc w:val="center"/>
              <w:rPr>
                <w:rFonts w:ascii="仿宋" w:hAnsi="仿宋" w:eastAsia="仿宋" w:cs="仿宋"/>
                <w:sz w:val="28"/>
                <w:szCs w:val="28"/>
              </w:rPr>
            </w:pPr>
            <w:r>
              <w:rPr>
                <w:rFonts w:hint="eastAsia" w:ascii="仿宋" w:hAnsi="仿宋" w:eastAsia="仿宋" w:cs="仿宋"/>
                <w:sz w:val="28"/>
                <w:szCs w:val="28"/>
              </w:rPr>
              <w:t>FS</w:t>
            </w:r>
          </w:p>
        </w:tc>
        <w:tc>
          <w:tcPr>
            <w:tcW w:w="1395" w:type="dxa"/>
            <w:noWrap/>
            <w:vAlign w:val="center"/>
          </w:tcPr>
          <w:p>
            <w:pPr>
              <w:widowControl/>
              <w:spacing w:line="360" w:lineRule="auto"/>
              <w:jc w:val="center"/>
              <w:rPr>
                <w:rFonts w:ascii="仿宋" w:hAnsi="仿宋" w:eastAsia="仿宋" w:cs="仿宋"/>
                <w:sz w:val="28"/>
                <w:szCs w:val="28"/>
              </w:rPr>
            </w:pPr>
            <w:r>
              <w:rPr>
                <w:rFonts w:hint="eastAsia" w:ascii="仿宋" w:hAnsi="仿宋" w:eastAsia="仿宋" w:cs="仿宋"/>
                <w:sz w:val="28"/>
                <w:szCs w:val="28"/>
              </w:rPr>
              <w:t>八宝粥</w:t>
            </w:r>
          </w:p>
        </w:tc>
        <w:tc>
          <w:tcPr>
            <w:tcW w:w="1650" w:type="dxa"/>
            <w:noWrap/>
          </w:tcPr>
          <w:p>
            <w:pPr>
              <w:jc w:val="center"/>
              <w:rPr>
                <w:rFonts w:ascii="仿宋" w:hAnsi="仿宋" w:eastAsia="仿宋" w:cs="仿宋"/>
                <w:sz w:val="28"/>
                <w:szCs w:val="28"/>
              </w:rPr>
            </w:pPr>
            <w:r>
              <w:rPr>
                <w:rFonts w:hint="eastAsia" w:ascii="仿宋" w:hAnsi="仿宋" w:eastAsia="仿宋" w:cs="仿宋"/>
                <w:sz w:val="28"/>
                <w:szCs w:val="28"/>
              </w:rPr>
              <w:t>银鹭</w:t>
            </w:r>
          </w:p>
        </w:tc>
        <w:tc>
          <w:tcPr>
            <w:tcW w:w="1380" w:type="dxa"/>
            <w:noWrap/>
          </w:tcPr>
          <w:p>
            <w:pPr>
              <w:jc w:val="center"/>
              <w:rPr>
                <w:rFonts w:ascii="仿宋" w:hAnsi="仿宋" w:eastAsia="仿宋" w:cs="仿宋"/>
                <w:sz w:val="28"/>
                <w:szCs w:val="28"/>
              </w:rPr>
            </w:pPr>
          </w:p>
        </w:tc>
        <w:tc>
          <w:tcPr>
            <w:tcW w:w="780" w:type="dxa"/>
            <w:noWrap/>
          </w:tcPr>
          <w:p>
            <w:pPr>
              <w:jc w:val="center"/>
              <w:rPr>
                <w:rFonts w:ascii="仿宋" w:hAnsi="仿宋" w:eastAsia="仿宋" w:cs="仿宋"/>
                <w:sz w:val="28"/>
                <w:szCs w:val="28"/>
              </w:rPr>
            </w:pPr>
            <w:r>
              <w:rPr>
                <w:rFonts w:hint="eastAsia" w:ascii="仿宋" w:hAnsi="仿宋" w:eastAsia="仿宋" w:cs="仿宋"/>
                <w:sz w:val="28"/>
                <w:szCs w:val="28"/>
              </w:rPr>
              <w:t>罐</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76" w:type="dxa"/>
            <w:gridSpan w:val="5"/>
            <w:noWrap/>
          </w:tcPr>
          <w:p>
            <w:pPr>
              <w:jc w:val="center"/>
              <w:rPr>
                <w:rFonts w:ascii="仿宋" w:hAnsi="仿宋" w:eastAsia="仿宋" w:cs="仿宋"/>
                <w:sz w:val="28"/>
                <w:szCs w:val="28"/>
              </w:rPr>
            </w:pPr>
            <w:r>
              <w:rPr>
                <w:rFonts w:hint="eastAsia" w:ascii="仿宋" w:hAnsi="仿宋" w:eastAsia="仿宋" w:cs="仿宋"/>
                <w:b/>
                <w:bCs/>
                <w:sz w:val="28"/>
                <w:szCs w:val="28"/>
              </w:rPr>
              <w:t>A包总合计</w:t>
            </w:r>
          </w:p>
        </w:tc>
        <w:tc>
          <w:tcPr>
            <w:tcW w:w="1110" w:type="dxa"/>
            <w:noWrap/>
          </w:tcPr>
          <w:p>
            <w:pPr>
              <w:jc w:val="center"/>
              <w:rPr>
                <w:rFonts w:ascii="仿宋" w:hAnsi="仿宋" w:eastAsia="仿宋" w:cs="仿宋"/>
                <w:sz w:val="28"/>
                <w:szCs w:val="28"/>
              </w:rPr>
            </w:pPr>
          </w:p>
        </w:tc>
        <w:tc>
          <w:tcPr>
            <w:tcW w:w="1125" w:type="dxa"/>
            <w:noWrap/>
          </w:tcPr>
          <w:p>
            <w:pPr>
              <w:jc w:val="center"/>
              <w:rPr>
                <w:rFonts w:ascii="仿宋" w:hAnsi="仿宋" w:eastAsia="仿宋" w:cs="仿宋"/>
                <w:sz w:val="28"/>
                <w:szCs w:val="28"/>
              </w:rPr>
            </w:pPr>
          </w:p>
        </w:tc>
        <w:tc>
          <w:tcPr>
            <w:tcW w:w="835" w:type="dxa"/>
            <w:noWrap/>
          </w:tcPr>
          <w:p>
            <w:pPr>
              <w:jc w:val="center"/>
              <w:rPr>
                <w:rFonts w:ascii="仿宋" w:hAnsi="仿宋" w:eastAsia="仿宋" w:cs="仿宋"/>
                <w:sz w:val="28"/>
                <w:szCs w:val="28"/>
              </w:rPr>
            </w:pPr>
          </w:p>
        </w:tc>
      </w:tr>
    </w:tbl>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DD4F8"/>
    <w:multiLevelType w:val="singleLevel"/>
    <w:tmpl w:val="55DDD4F8"/>
    <w:lvl w:ilvl="0" w:tentative="0">
      <w:start w:val="1"/>
      <w:numFmt w:val="chineseCounting"/>
      <w:suff w:val="nothing"/>
      <w:lvlText w:val="（%1）"/>
      <w:lvlJc w:val="left"/>
    </w:lvl>
  </w:abstractNum>
  <w:abstractNum w:abstractNumId="1">
    <w:nsid w:val="55F82B6B"/>
    <w:multiLevelType w:val="singleLevel"/>
    <w:tmpl w:val="55F82B6B"/>
    <w:lvl w:ilvl="0" w:tentative="0">
      <w:start w:val="1"/>
      <w:numFmt w:val="chineseCounting"/>
      <w:suff w:val="nothing"/>
      <w:lvlText w:val="%1、"/>
      <w:lvlJc w:val="left"/>
    </w:lvl>
  </w:abstractNum>
  <w:abstractNum w:abstractNumId="2">
    <w:nsid w:val="5600E056"/>
    <w:multiLevelType w:val="singleLevel"/>
    <w:tmpl w:val="5600E056"/>
    <w:lvl w:ilvl="0" w:tentative="0">
      <w:start w:val="4"/>
      <w:numFmt w:val="chineseCounting"/>
      <w:suff w:val="nothing"/>
      <w:lvlText w:val="%1、"/>
      <w:lvlJc w:val="left"/>
    </w:lvl>
  </w:abstractNum>
  <w:abstractNum w:abstractNumId="3">
    <w:nsid w:val="5600EC01"/>
    <w:multiLevelType w:val="singleLevel"/>
    <w:tmpl w:val="5600EC01"/>
    <w:lvl w:ilvl="0" w:tentative="0">
      <w:start w:val="1"/>
      <w:numFmt w:val="decimal"/>
      <w:suff w:val="nothing"/>
      <w:lvlText w:val="%1、"/>
      <w:lvlJc w:val="left"/>
    </w:lvl>
  </w:abstractNum>
  <w:abstractNum w:abstractNumId="4">
    <w:nsid w:val="5600EDCC"/>
    <w:multiLevelType w:val="singleLevel"/>
    <w:tmpl w:val="5600EDCC"/>
    <w:lvl w:ilvl="0" w:tentative="0">
      <w:start w:val="1"/>
      <w:numFmt w:val="decimal"/>
      <w:suff w:val="nothing"/>
      <w:lvlText w:val="%1、"/>
      <w:lvlJc w:val="left"/>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0C790B"/>
    <w:rsid w:val="474C5299"/>
    <w:rsid w:val="6F5619B1"/>
    <w:rsid w:val="760C7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0"/>
    <w:pPr>
      <w:spacing w:after="120"/>
      <w:ind w:left="420" w:leftChars="200"/>
    </w:pPr>
    <w:rPr>
      <w:rFonts w:ascii="宋体" w:hAnsi="宋体"/>
      <w:szCs w:val="24"/>
    </w:rPr>
  </w:style>
  <w:style w:type="paragraph" w:styleId="5">
    <w:name w:val="annotation text"/>
    <w:basedOn w:val="1"/>
    <w:unhideWhenUsed/>
    <w:qFormat/>
    <w:uiPriority w:val="99"/>
    <w:pPr>
      <w:jc w:val="left"/>
    </w:pPr>
  </w:style>
  <w:style w:type="paragraph" w:styleId="6">
    <w:name w:val="Plain Text"/>
    <w:basedOn w:val="1"/>
    <w:unhideWhenUsed/>
    <w:qFormat/>
    <w:uiPriority w:val="99"/>
    <w:rPr>
      <w:rFonts w:ascii="宋体" w:hAnsi="Courier New"/>
    </w:rPr>
  </w:style>
  <w:style w:type="paragraph" w:styleId="7">
    <w:name w:val="Normal (Web)"/>
    <w:basedOn w:val="1"/>
    <w:unhideWhenUsed/>
    <w:qFormat/>
    <w:uiPriority w:val="99"/>
    <w:pPr>
      <w:spacing w:before="100" w:beforeAutospacing="1" w:after="100" w:afterAutospacing="1"/>
      <w:jc w:val="left"/>
    </w:pPr>
    <w:rPr>
      <w:kern w:val="0"/>
      <w:sz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
    <w:name w:val="样式 WG标题2 + 行距: 固定值 18 磅"/>
    <w:basedOn w:val="1"/>
    <w:qFormat/>
    <w:uiPriority w:val="0"/>
    <w:pPr>
      <w:autoSpaceDE w:val="0"/>
      <w:autoSpaceDN w:val="0"/>
      <w:adjustRightInd w:val="0"/>
      <w:spacing w:line="360" w:lineRule="exact"/>
      <w:textAlignment w:val="baseline"/>
      <w:outlineLvl w:val="1"/>
    </w:pPr>
    <w:rPr>
      <w:rFonts w:ascii="仿宋_GB2312" w:hAnsi="宋体" w:cs="宋体"/>
      <w:b/>
      <w:bCs/>
      <w:color w:val="000000"/>
      <w:kern w:val="2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2019-09-25T09:11:00Z</dcterms:created>
  <dc:creator>俊儿1409552745</dc:creator>
  <cp:lastModifiedBy>夜晚的星儿</cp:lastModifiedBy>
  <dcterms:modified xsi:type="dcterms:W3CDTF">2019-09-26T07:34:57Z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